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20" w:lineRule="exact"/>
        <w:jc w:val="center"/>
        <w:rPr>
          <w:rFonts w:ascii="Times New Roman" w:hAnsi="Times New Roman" w:eastAsia="方正小标宋_GBK"/>
          <w:spacing w:val="0"/>
          <w:kern w:val="10"/>
          <w:sz w:val="44"/>
          <w:szCs w:val="44"/>
        </w:rPr>
      </w:pPr>
      <w:r>
        <w:rPr>
          <w:rFonts w:ascii="Times New Roman" w:hAnsi="Times New Roman" w:eastAsia="方正小标宋_GBK"/>
          <w:spacing w:val="0"/>
          <w:kern w:val="10"/>
          <w:sz w:val="44"/>
          <w:szCs w:val="44"/>
        </w:rPr>
        <w:t>重庆市渝中区人民政府</w:t>
      </w:r>
    </w:p>
    <w:p>
      <w:pPr>
        <w:overflowPunct w:val="0"/>
        <w:spacing w:line="620" w:lineRule="exact"/>
        <w:jc w:val="center"/>
        <w:rPr>
          <w:rFonts w:ascii="Times New Roman" w:hAnsi="Times New Roman" w:eastAsia="方正小标宋_GBK"/>
          <w:spacing w:val="0"/>
          <w:kern w:val="1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0"/>
          <w:kern w:val="10"/>
          <w:sz w:val="44"/>
          <w:szCs w:val="44"/>
        </w:rPr>
        <w:t>关于2023年上半年预算执行情况的报告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经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7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26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日区第十九届人大常委会第十次会议审议通过）</w:t>
      </w:r>
    </w:p>
    <w:p>
      <w:pPr>
        <w:pStyle w:val="4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今年以来，渝中区深入学习贯彻习近平新时代中国特色社会主义思想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和</w:t>
      </w:r>
      <w:r>
        <w:rPr>
          <w:rFonts w:ascii="Times New Roman" w:hAnsi="Times New Roman" w:eastAsia="方正仿宋_GBK"/>
          <w:spacing w:val="0"/>
          <w:sz w:val="32"/>
          <w:szCs w:val="32"/>
        </w:rPr>
        <w:t>党的二十大精神，在区委的正确领导和人大监督支持下，坚持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稳进增效、除险清患、改革求变、</w:t>
      </w:r>
      <w:bookmarkStart w:id="2" w:name="_GoBack"/>
      <w:bookmarkEnd w:id="2"/>
      <w:r>
        <w:rPr>
          <w:rFonts w:ascii="Times New Roman" w:hAnsi="Times New Roman" w:eastAsia="方正仿宋_GBK"/>
          <w:spacing w:val="0"/>
          <w:sz w:val="32"/>
          <w:szCs w:val="32"/>
        </w:rPr>
        <w:t>惠民有感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工作导向，认真执行区十九届人大三次会议批准的年度预算，坚持稳中求进工作总基调，积极的财政政策加力提效，不断强化财政收支管理，助力新时代新征程新重庆渝中发展新篇章。上半年，全区财政运行总体平稳，各项年度目标任务有序推进。现将有关情况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ascii="Times New Roman" w:hAnsi="Times New Roman" w:eastAsia="方正黑体_GBK"/>
          <w:spacing w:val="0"/>
          <w:sz w:val="32"/>
          <w:szCs w:val="32"/>
        </w:rPr>
      </w:pPr>
      <w:r>
        <w:rPr>
          <w:rFonts w:ascii="Times New Roman" w:hAnsi="Times New Roman" w:eastAsia="方正黑体_GBK"/>
          <w:spacing w:val="0"/>
          <w:sz w:val="32"/>
          <w:szCs w:val="32"/>
        </w:rPr>
        <w:t>一、上半年预算执行基本情况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0"/>
          <w:sz w:val="32"/>
          <w:szCs w:val="32"/>
        </w:rPr>
        <w:t>（一）收入执行情况。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b/>
          <w:spacing w:val="0"/>
          <w:sz w:val="32"/>
          <w:szCs w:val="32"/>
        </w:rPr>
        <w:t>一是财政收入逐步回升，实现过半目标。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受去年四季度疫情对经济活动的影响，1月财政收入大幅下降，区级一般公共预算收入下降30.7%、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</w:rPr>
        <w:t>其中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区级税收收入下降24.2%。随着今年经济逐步企稳恢复、文化旅游消费市场活力逐步释放，财政收入降幅逐月收窄，4月增幅转正，5、6月增幅进一步扩大。</w:t>
      </w:r>
      <w:r>
        <w:rPr>
          <w:rFonts w:ascii="Times New Roman" w:hAnsi="Times New Roman" w:eastAsia="方正仿宋_GBK"/>
          <w:spacing w:val="0"/>
          <w:sz w:val="32"/>
          <w:szCs w:val="32"/>
        </w:rPr>
        <w:t>1-6月，区级一般公共预算收入完成22.17亿元，为预算的51.8%，增长4.2%、增幅较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5月</w:t>
      </w:r>
      <w:r>
        <w:rPr>
          <w:rFonts w:ascii="Times New Roman" w:hAnsi="Times New Roman" w:eastAsia="方正仿宋_GBK"/>
          <w:spacing w:val="0"/>
          <w:sz w:val="32"/>
          <w:szCs w:val="32"/>
        </w:rPr>
        <w:t>扩大1.9个百分点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spacing w:val="0"/>
          <w:sz w:val="32"/>
          <w:szCs w:val="32"/>
        </w:rPr>
        <w:t>其中区级税收收入完成17.65亿元，为预算的49.8%，增长8.1%、增幅较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5月</w:t>
      </w:r>
      <w:r>
        <w:rPr>
          <w:rFonts w:ascii="Times New Roman" w:hAnsi="Times New Roman" w:eastAsia="方正仿宋_GBK"/>
          <w:spacing w:val="0"/>
          <w:sz w:val="32"/>
          <w:szCs w:val="32"/>
        </w:rPr>
        <w:t>扩大5.3个百分点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，</w:t>
      </w:r>
      <w:r>
        <w:rPr>
          <w:rFonts w:ascii="Times New Roman" w:hAnsi="Times New Roman" w:eastAsia="方正仿宋_GBK"/>
          <w:spacing w:val="0"/>
          <w:sz w:val="32"/>
          <w:szCs w:val="32"/>
        </w:rPr>
        <w:t>主要是受元浩集中统一监管资产过户税款等一次性因素拉动；区级非税收入完成4.52亿元，为预算的61.1%，下降8.9%，主要是去年环卫三所缴入资产处置收入垫高基数。区级一般公共预算收入完成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时间过半、进度过半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目标，税收收入基本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实现</w:t>
      </w:r>
      <w:r>
        <w:rPr>
          <w:rFonts w:ascii="Times New Roman" w:hAnsi="Times New Roman" w:eastAsia="方正仿宋_GBK"/>
          <w:spacing w:val="0"/>
          <w:sz w:val="32"/>
          <w:szCs w:val="32"/>
        </w:rPr>
        <w:t>过半。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spacing w:val="0"/>
          <w:sz w:val="32"/>
          <w:szCs w:val="32"/>
        </w:rPr>
        <w:t>二是收入质量优良，增幅相对落后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spacing w:val="0"/>
          <w:sz w:val="32"/>
          <w:szCs w:val="32"/>
        </w:rPr>
        <w:t>区级税收收入占比79.6%，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在全市排名前列</w:t>
      </w:r>
      <w:r>
        <w:rPr>
          <w:rFonts w:ascii="Times New Roman" w:hAnsi="Times New Roman" w:eastAsia="方正仿宋_GBK"/>
          <w:spacing w:val="0"/>
          <w:sz w:val="32"/>
          <w:szCs w:val="32"/>
        </w:rPr>
        <w:t>。从与全市、主城九区平均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增幅</w:t>
      </w:r>
      <w:r>
        <w:rPr>
          <w:rFonts w:ascii="Times New Roman" w:hAnsi="Times New Roman" w:eastAsia="方正仿宋_GBK"/>
          <w:spacing w:val="0"/>
          <w:sz w:val="32"/>
          <w:szCs w:val="32"/>
        </w:rPr>
        <w:t>对比来看，区级一般公共预算收入增幅分别低于全市、主城九区10.2个百分点、0.3个百分点，其中区级税收收入增幅低于全市13.7个百分点、高于主城九区3.8个百分点，主要是去年同期全市集中留抵退税大幅拉低税收基数，但我区无制造业、留抵退税影响相对较小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</w:rPr>
        <w:t>三是各税种降幅普遍收窄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</w:rPr>
        <w:t>半数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税种实现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</w:rPr>
        <w:t>正增长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各项税种降幅逐月收窄，增值税等半数税种实现正增长。从主体税种来看，增值税因</w:t>
      </w:r>
      <w:r>
        <w:rPr>
          <w:rFonts w:ascii="Times New Roman" w:hAnsi="Times New Roman" w:eastAsia="方正仿宋_GBK"/>
          <w:spacing w:val="0"/>
          <w:sz w:val="32"/>
          <w:szCs w:val="32"/>
        </w:rPr>
        <w:t>去年同期大规模留抵退税政策拉低基数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，增幅较大，达到</w:t>
      </w:r>
      <w:r>
        <w:rPr>
          <w:rFonts w:ascii="Times New Roman" w:hAnsi="Times New Roman" w:eastAsia="方正仿宋_GBK"/>
          <w:spacing w:val="0"/>
          <w:sz w:val="32"/>
          <w:szCs w:val="32"/>
        </w:rPr>
        <w:t>23.1%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；</w:t>
      </w:r>
      <w:r>
        <w:rPr>
          <w:rFonts w:ascii="Times New Roman" w:hAnsi="Times New Roman" w:eastAsia="方正仿宋_GBK"/>
          <w:spacing w:val="0"/>
          <w:sz w:val="32"/>
          <w:szCs w:val="32"/>
        </w:rPr>
        <w:t>企业所得税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因</w:t>
      </w:r>
      <w:r>
        <w:rPr>
          <w:rFonts w:ascii="Times New Roman" w:hAnsi="Times New Roman" w:eastAsia="方正仿宋_GBK"/>
          <w:spacing w:val="0"/>
          <w:sz w:val="32"/>
          <w:szCs w:val="32"/>
        </w:rPr>
        <w:t>去年四季度疫情经济活动减弱，影响今年一季度税款缴纳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及年度汇算清缴，下降最多，达到2</w:t>
      </w:r>
      <w:r>
        <w:rPr>
          <w:rFonts w:ascii="Times New Roman" w:hAnsi="Times New Roman" w:eastAsia="方正仿宋_GBK"/>
          <w:spacing w:val="0"/>
          <w:sz w:val="32"/>
          <w:szCs w:val="32"/>
        </w:rPr>
        <w:t>0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%，但</w:t>
      </w:r>
      <w:r>
        <w:rPr>
          <w:rFonts w:ascii="Times New Roman" w:hAnsi="Times New Roman" w:eastAsia="方正仿宋_GBK"/>
          <w:spacing w:val="0"/>
          <w:sz w:val="32"/>
          <w:szCs w:val="32"/>
        </w:rPr>
        <w:t>降幅相比一季度收窄7.8个百分点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；</w:t>
      </w:r>
      <w:r>
        <w:rPr>
          <w:rFonts w:ascii="Times New Roman" w:hAnsi="Times New Roman" w:eastAsia="方正仿宋_GBK"/>
          <w:spacing w:val="0"/>
          <w:sz w:val="32"/>
          <w:szCs w:val="32"/>
          <w:u w:val="none"/>
        </w:rPr>
        <w:t>个人所得税</w:t>
      </w:r>
      <w:r>
        <w:rPr>
          <w:rFonts w:hint="eastAsia" w:ascii="Times New Roman" w:hAnsi="Times New Roman" w:eastAsia="方正仿宋_GBK"/>
          <w:spacing w:val="0"/>
          <w:sz w:val="32"/>
          <w:szCs w:val="32"/>
          <w:u w:val="none"/>
        </w:rPr>
        <w:t>受</w:t>
      </w:r>
      <w:r>
        <w:rPr>
          <w:rFonts w:hint="eastAsia" w:ascii="Times New Roman" w:hAnsi="Times New Roman" w:eastAsia="方正仿宋_GBK"/>
          <w:spacing w:val="0"/>
          <w:sz w:val="32"/>
          <w:szCs w:val="32"/>
          <w:u w:val="none"/>
          <w:lang w:eastAsia="zh-CN"/>
        </w:rPr>
        <w:t>金融等行业从业人员年终奖下降影响</w:t>
      </w:r>
      <w:r>
        <w:rPr>
          <w:rFonts w:hint="eastAsia" w:ascii="Times New Roman" w:hAnsi="Times New Roman" w:eastAsia="方正仿宋_GBK"/>
          <w:spacing w:val="0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下降2</w:t>
      </w:r>
      <w:r>
        <w:rPr>
          <w:rFonts w:ascii="Times New Roman" w:hAnsi="Times New Roman" w:eastAsia="方正仿宋_GBK"/>
          <w:spacing w:val="0"/>
          <w:sz w:val="32"/>
          <w:szCs w:val="32"/>
        </w:rPr>
        <w:t>.4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%，但</w:t>
      </w:r>
      <w:r>
        <w:rPr>
          <w:rFonts w:ascii="Times New Roman" w:hAnsi="Times New Roman" w:eastAsia="方正仿宋_GBK"/>
          <w:spacing w:val="0"/>
          <w:sz w:val="32"/>
          <w:szCs w:val="32"/>
        </w:rPr>
        <w:t>降幅相比一季度收窄9.2个百分点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。从其他税种来看，受</w:t>
      </w:r>
      <w:r>
        <w:rPr>
          <w:rFonts w:ascii="Times New Roman" w:hAnsi="Times New Roman" w:eastAsia="方正仿宋_GBK"/>
          <w:spacing w:val="0"/>
          <w:sz w:val="32"/>
          <w:szCs w:val="32"/>
        </w:rPr>
        <w:t>元浩集中统一监管资产过户税款入库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spacing w:val="0"/>
          <w:sz w:val="32"/>
          <w:szCs w:val="32"/>
        </w:rPr>
        <w:t>去年同期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两江四岸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调规退新浩郡公司契税拉低基数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spacing w:val="0"/>
          <w:sz w:val="32"/>
          <w:szCs w:val="32"/>
        </w:rPr>
        <w:t>华西包装集团补缴欠税及滞纳金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spacing w:val="0"/>
          <w:sz w:val="32"/>
          <w:szCs w:val="32"/>
        </w:rPr>
        <w:t>水务环境控股集团补缴滞纳金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等拉动，</w:t>
      </w:r>
      <w:r>
        <w:rPr>
          <w:rFonts w:ascii="Times New Roman" w:hAnsi="Times New Roman" w:eastAsia="方正仿宋_GBK"/>
          <w:spacing w:val="0"/>
          <w:sz w:val="32"/>
          <w:szCs w:val="32"/>
        </w:rPr>
        <w:t>土地增值税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spacing w:val="0"/>
          <w:sz w:val="32"/>
          <w:szCs w:val="32"/>
        </w:rPr>
        <w:t>契税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spacing w:val="0"/>
          <w:sz w:val="32"/>
          <w:szCs w:val="32"/>
        </w:rPr>
        <w:t>城镇土地使用税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分别增长</w:t>
      </w:r>
      <w:r>
        <w:rPr>
          <w:rFonts w:ascii="Times New Roman" w:hAnsi="Times New Roman" w:eastAsia="方正仿宋_GBK"/>
          <w:spacing w:val="0"/>
          <w:sz w:val="32"/>
          <w:szCs w:val="32"/>
        </w:rPr>
        <w:t>34.8%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spacing w:val="0"/>
          <w:sz w:val="32"/>
          <w:szCs w:val="32"/>
        </w:rPr>
        <w:t>9.7%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spacing w:val="0"/>
          <w:sz w:val="32"/>
          <w:szCs w:val="32"/>
        </w:rPr>
        <w:t>12.1%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</w:rPr>
        <w:t>四是支柱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行业有所回暖，消费市场复苏明显。</w:t>
      </w:r>
      <w:r>
        <w:rPr>
          <w:rFonts w:ascii="Times New Roman" w:hAnsi="Times New Roman" w:eastAsia="方正仿宋_GBK"/>
          <w:spacing w:val="0"/>
          <w:sz w:val="32"/>
          <w:szCs w:val="32"/>
        </w:rPr>
        <w:t>三大支柱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行业</w:t>
      </w:r>
      <w:r>
        <w:rPr>
          <w:rFonts w:ascii="Times New Roman" w:hAnsi="Times New Roman" w:eastAsia="方正仿宋_GBK"/>
          <w:spacing w:val="0"/>
          <w:sz w:val="32"/>
          <w:szCs w:val="32"/>
        </w:rPr>
        <w:t>中，房地产业受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企业</w:t>
      </w:r>
      <w:r>
        <w:rPr>
          <w:rFonts w:ascii="Times New Roman" w:hAnsi="Times New Roman" w:eastAsia="方正仿宋_GBK"/>
          <w:spacing w:val="0"/>
          <w:sz w:val="32"/>
          <w:szCs w:val="32"/>
        </w:rPr>
        <w:t>资产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集中</w:t>
      </w:r>
      <w:r>
        <w:rPr>
          <w:rFonts w:ascii="Times New Roman" w:hAnsi="Times New Roman" w:eastAsia="方正仿宋_GBK"/>
          <w:spacing w:val="0"/>
          <w:sz w:val="32"/>
          <w:szCs w:val="32"/>
        </w:rPr>
        <w:t>过户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缴税</w:t>
      </w:r>
      <w:r>
        <w:rPr>
          <w:rFonts w:ascii="Times New Roman" w:hAnsi="Times New Roman" w:eastAsia="方正仿宋_GBK"/>
          <w:spacing w:val="0"/>
          <w:sz w:val="32"/>
          <w:szCs w:val="32"/>
        </w:rPr>
        <w:t>及去年同期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两江四岸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调规退契税等一次性因素影响，增长24.0%；金融业受利率下调、利润降低、集中处理坏账影响，下降3.0%，但随着经济企稳回升，坏账影响逐步消除，降幅相比一季度收窄8.1个百分点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。因</w:t>
      </w:r>
      <w:r>
        <w:rPr>
          <w:rFonts w:ascii="Times New Roman" w:hAnsi="Times New Roman" w:eastAsia="方正仿宋_GBK"/>
          <w:spacing w:val="0"/>
          <w:sz w:val="32"/>
          <w:szCs w:val="32"/>
        </w:rPr>
        <w:t>消费活力加速回归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</w:t>
      </w:r>
      <w:r>
        <w:rPr>
          <w:rFonts w:ascii="Times New Roman" w:hAnsi="Times New Roman" w:eastAsia="方正仿宋_GBK"/>
          <w:spacing w:val="0"/>
          <w:sz w:val="32"/>
          <w:szCs w:val="32"/>
        </w:rPr>
        <w:t>与消费相关的餐饮住宿业、交通运输及邮电业、租赁和商务服务业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spacing w:val="0"/>
          <w:sz w:val="32"/>
          <w:szCs w:val="32"/>
        </w:rPr>
        <w:t>批发零售业分别增长76.8%、61.4%、24.2%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spacing w:val="0"/>
          <w:sz w:val="32"/>
          <w:szCs w:val="32"/>
        </w:rPr>
        <w:t>5.2%，均有较大程度提振。新兴行业平稳向好，除文化娱乐业受体彩中心代缴的个税减少下降9.7%外，信息传输计算机服务和软件业、科学研究和技术服务业、卫生和社会工作业分别增长25.9%、0.1%、8.9%。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楷体_GBK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0"/>
          <w:sz w:val="32"/>
          <w:szCs w:val="32"/>
        </w:rPr>
        <w:t>（二）支出执行情况。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一是财政支出靠前发力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上半年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落实</w:t>
      </w:r>
      <w:r>
        <w:rPr>
          <w:rFonts w:ascii="Times New Roman" w:hAnsi="Times New Roman" w:eastAsia="方正仿宋_GBK"/>
          <w:spacing w:val="0"/>
          <w:sz w:val="32"/>
          <w:szCs w:val="32"/>
        </w:rPr>
        <w:t>积极的财政政策加力提效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财政部门统筹资金加大对基本民生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基础建设等重点领域资金投入。同时加快专项债发行和使用，保持支出强度拉动有效投资，有力支撑渝中经济社会平稳运行。</w:t>
      </w:r>
      <w:r>
        <w:rPr>
          <w:rFonts w:ascii="Times New Roman" w:hAnsi="Times New Roman" w:eastAsia="方正仿宋_GBK"/>
          <w:spacing w:val="0"/>
          <w:sz w:val="32"/>
          <w:szCs w:val="32"/>
        </w:rPr>
        <w:t>1-6月，一般公共预算支出完成40亿元，为预算的51%，较上年同期增长2.8%。政府性基金支出24亿元，为预算的89.3%，较上年同期增长217.2%，主要是新增专项债券支出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较去年同期增加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亿元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二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是</w:t>
      </w:r>
      <w:r>
        <w:rPr>
          <w:rFonts w:hint="eastAsia"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支出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运行平稳有序。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一般公共预算支出完成预算的5</w:t>
      </w:r>
      <w:r>
        <w:rPr>
          <w:rFonts w:ascii="Times New Roman" w:hAnsi="Times New Roman" w:eastAsia="方正仿宋_GBK"/>
          <w:spacing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%，其中：</w:t>
      </w:r>
      <w:r>
        <w:rPr>
          <w:rFonts w:ascii="Times New Roman" w:hAnsi="Times New Roman" w:eastAsia="方正仿宋_GBK"/>
          <w:spacing w:val="0"/>
          <w:sz w:val="32"/>
          <w:szCs w:val="32"/>
        </w:rPr>
        <w:t>卫生健康、社会保障和就业以及城乡社区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等</w:t>
      </w:r>
      <w:r>
        <w:rPr>
          <w:rFonts w:ascii="Times New Roman" w:hAnsi="Times New Roman" w:eastAsia="方正仿宋_GBK"/>
          <w:spacing w:val="0"/>
          <w:sz w:val="32"/>
          <w:szCs w:val="32"/>
        </w:rPr>
        <w:t>支出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超过序时进度</w:t>
      </w:r>
      <w:r>
        <w:rPr>
          <w:rFonts w:ascii="Times New Roman" w:hAnsi="Times New Roman" w:eastAsia="方正仿宋_GBK"/>
          <w:spacing w:val="0"/>
          <w:sz w:val="32"/>
          <w:szCs w:val="32"/>
        </w:rPr>
        <w:t>，主要是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结算2022年度疫情防控资金，离退休健康休养费、困难群众救助补助、离退休节日慰问主要集中在上半年兑现</w:t>
      </w:r>
      <w:r>
        <w:rPr>
          <w:rFonts w:ascii="Times New Roman" w:hAnsi="Times New Roman" w:eastAsia="方正仿宋_GBK"/>
          <w:spacing w:val="0"/>
          <w:sz w:val="32"/>
          <w:szCs w:val="32"/>
        </w:rPr>
        <w:t>，法院审批法庭迁建工程等建设项目执行进度较好。商业服务业、资源勘探信息、节能环保等支出执行进度滞后，主要是商务发展、外经贸发展、工业信息化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专项等资金需待市级确定项目后支出</w:t>
      </w:r>
      <w:r>
        <w:rPr>
          <w:rFonts w:ascii="Times New Roman" w:hAnsi="Times New Roman" w:eastAsia="方正仿宋_GBK"/>
          <w:spacing w:val="0"/>
          <w:sz w:val="32"/>
          <w:szCs w:val="32"/>
        </w:rPr>
        <w:t>，生态环境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以奖促治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资金根据项目进度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暂未达到付款节点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Times New Roman" w:hAnsi="Times New Roman" w:eastAsia="方正黑体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三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是财政支出</w:t>
      </w:r>
      <w:r>
        <w:rPr>
          <w:rFonts w:hint="eastAsia"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稳步增长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一般公共预算支出</w:t>
      </w:r>
      <w:r>
        <w:rPr>
          <w:rFonts w:ascii="Times New Roman" w:hAnsi="Times New Roman" w:eastAsia="方正仿宋_GBK"/>
          <w:spacing w:val="0"/>
          <w:sz w:val="32"/>
          <w:szCs w:val="32"/>
        </w:rPr>
        <w:t>较上年同期增长2.8%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，其中：</w:t>
      </w:r>
      <w:r>
        <w:rPr>
          <w:rFonts w:ascii="Times New Roman" w:hAnsi="Times New Roman" w:eastAsia="方正仿宋_GBK"/>
          <w:spacing w:val="0"/>
          <w:sz w:val="32"/>
          <w:szCs w:val="32"/>
        </w:rPr>
        <w:t>自然资源海洋气象支出、农林水支出、卫生健康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等</w:t>
      </w:r>
      <w:r>
        <w:rPr>
          <w:rFonts w:ascii="Times New Roman" w:hAnsi="Times New Roman" w:eastAsia="方正仿宋_GBK"/>
          <w:spacing w:val="0"/>
          <w:sz w:val="32"/>
          <w:szCs w:val="32"/>
        </w:rPr>
        <w:t>支出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增幅较大</w:t>
      </w:r>
      <w:r>
        <w:rPr>
          <w:rFonts w:ascii="Times New Roman" w:hAnsi="Times New Roman" w:eastAsia="方正仿宋_GBK"/>
          <w:spacing w:val="0"/>
          <w:sz w:val="32"/>
          <w:szCs w:val="32"/>
        </w:rPr>
        <w:t>，主要是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裸露高陡边坡生态质量提升示范工程</w:t>
      </w:r>
      <w:r>
        <w:rPr>
          <w:rFonts w:ascii="Times New Roman" w:hAnsi="Times New Roman" w:eastAsia="方正仿宋_GBK"/>
          <w:spacing w:val="0"/>
          <w:sz w:val="32"/>
          <w:szCs w:val="32"/>
        </w:rPr>
        <w:t>、渝中区与巫溪县横向生态补偿资金等项目支出，以及结算2022年疫情防控经费。商业服务业、文化体育与传媒、住房保障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等支出降幅较大</w:t>
      </w:r>
      <w:r>
        <w:rPr>
          <w:rFonts w:ascii="Times New Roman" w:hAnsi="Times New Roman" w:eastAsia="方正仿宋_GBK"/>
          <w:spacing w:val="0"/>
          <w:sz w:val="32"/>
          <w:szCs w:val="32"/>
        </w:rPr>
        <w:t>，主要是政策兑现优先使用全区结余资金安排，去年同期支出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老鼓楼衙署遗址保护展示工程</w:t>
      </w:r>
      <w:r>
        <w:rPr>
          <w:rFonts w:ascii="Times New Roman" w:hAnsi="Times New Roman" w:eastAsia="方正仿宋_GBK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保障性安居工程</w:t>
      </w:r>
      <w:r>
        <w:rPr>
          <w:rFonts w:ascii="Times New Roman" w:hAnsi="Times New Roman" w:eastAsia="方正仿宋_GBK"/>
          <w:spacing w:val="0"/>
          <w:sz w:val="32"/>
          <w:szCs w:val="32"/>
        </w:rPr>
        <w:t>等中央资金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1.36亿元</w:t>
      </w:r>
      <w:r>
        <w:rPr>
          <w:rFonts w:ascii="Times New Roman" w:hAnsi="Times New Roman" w:eastAsia="方正仿宋_GBK"/>
          <w:spacing w:val="0"/>
          <w:sz w:val="32"/>
          <w:szCs w:val="32"/>
        </w:rPr>
        <w:t>垫高基数。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/>
          <w:spacing w:val="0"/>
          <w:sz w:val="32"/>
          <w:szCs w:val="32"/>
        </w:rPr>
      </w:pPr>
      <w:r>
        <w:rPr>
          <w:rFonts w:ascii="Times New Roman" w:hAnsi="Times New Roman" w:eastAsia="方正黑体_GBK"/>
          <w:spacing w:val="0"/>
          <w:sz w:val="32"/>
          <w:szCs w:val="32"/>
        </w:rPr>
        <w:t>二、重点工作推进情况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0"/>
          <w:sz w:val="32"/>
          <w:szCs w:val="32"/>
        </w:rPr>
        <w:t>（一）聚焦市场主体，提振经济企稳回升。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一是培育产业壮财源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。出台文旅、中央法务区等专项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</w:rPr>
        <w:t>产业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政策，支持招大商、招优企。推进存量企业政策兑现工作，规范流程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</w:rPr>
        <w:t>、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压减程序。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二是刺激消费聚财气。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统筹市区促消费资金，举办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暖春消费季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不夜重庆生活节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等专项促消费活动、发放消费券、落实房交会奖补政策，挖掘消费增长动力，变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人气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财气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spacing w:val="0"/>
          <w:sz w:val="32"/>
          <w:szCs w:val="32"/>
        </w:rPr>
        <w:t>落实创新创业政策，激发市场活力，带动地摊经济、夜市经济等不同业态融合发展，聚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人气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生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财气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三是助企纾困强主体。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严格落实从中央到地方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</w:rPr>
        <w:t>助企纾困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政策，</w:t>
      </w:r>
      <w:r>
        <w:rPr>
          <w:rFonts w:ascii="Times New Roman" w:hAnsi="Times New Roman" w:eastAsia="方正仿宋_GBK"/>
          <w:spacing w:val="0"/>
          <w:sz w:val="32"/>
          <w:szCs w:val="32"/>
        </w:rPr>
        <w:t>延续执行阶段性降低失业保险费率，为企业用工减负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spacing w:val="0"/>
          <w:sz w:val="32"/>
          <w:szCs w:val="32"/>
        </w:rPr>
        <w:t>截至6月底，共减征失业保险费1.98亿元、惠及企业1.45万户。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0"/>
          <w:sz w:val="32"/>
          <w:szCs w:val="32"/>
        </w:rPr>
        <w:t>（二）聚焦民生福祉，有力保障重点支出。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一是坚持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优先。</w:t>
      </w:r>
      <w:r>
        <w:rPr>
          <w:rFonts w:ascii="Times New Roman" w:hAnsi="Times New Roman" w:eastAsia="方正仿宋_GBK"/>
          <w:spacing w:val="0"/>
          <w:sz w:val="32"/>
          <w:szCs w:val="32"/>
        </w:rPr>
        <w:t>足额编制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预算，可用财力优先保障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预算。预算执行中优先安排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支出。1-6月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支出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24.21亿元。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</w:rPr>
        <w:t>二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是抓好民生保障。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坚持优先发展教育，上半年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教育支出8.01亿元，较去年同期增长17.3%。</w:t>
      </w:r>
      <w:r>
        <w:rPr>
          <w:rFonts w:ascii="Times New Roman" w:hAnsi="Times New Roman" w:eastAsia="方正仿宋_GBK"/>
          <w:spacing w:val="0"/>
          <w:sz w:val="32"/>
          <w:szCs w:val="32"/>
        </w:rPr>
        <w:t>强化政府托底保障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</w:t>
      </w:r>
      <w:r>
        <w:rPr>
          <w:rFonts w:ascii="Times New Roman" w:hAnsi="Times New Roman" w:eastAsia="方正仿宋_GBK"/>
          <w:spacing w:val="0"/>
          <w:sz w:val="32"/>
          <w:szCs w:val="32"/>
        </w:rPr>
        <w:t>1-6月，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投入</w:t>
      </w:r>
      <w:r>
        <w:rPr>
          <w:rFonts w:ascii="Times New Roman" w:hAnsi="Times New Roman" w:eastAsia="方正仿宋_GBK"/>
          <w:spacing w:val="0"/>
          <w:sz w:val="32"/>
          <w:szCs w:val="32"/>
        </w:rPr>
        <w:t>生活困难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补助</w:t>
      </w:r>
      <w:r>
        <w:rPr>
          <w:rFonts w:ascii="Times New Roman" w:hAnsi="Times New Roman" w:eastAsia="方正仿宋_GBK"/>
          <w:spacing w:val="0"/>
          <w:sz w:val="32"/>
          <w:szCs w:val="32"/>
        </w:rPr>
        <w:t>资金1.13亿元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、就业补助</w:t>
      </w:r>
      <w:r>
        <w:rPr>
          <w:rFonts w:ascii="Times New Roman" w:hAnsi="Times New Roman" w:eastAsia="方正仿宋_GBK"/>
          <w:spacing w:val="0"/>
          <w:sz w:val="32"/>
          <w:szCs w:val="32"/>
        </w:rPr>
        <w:t>资金7165万元，发放创业担保贷款1227万元，城镇新增就业2.96万人。统筹资金2.24亿元，结算疫情防控尾款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b/>
          <w:bCs/>
          <w:color w:val="000000"/>
          <w:spacing w:val="0"/>
          <w:kern w:val="0"/>
          <w:sz w:val="32"/>
          <w:szCs w:val="32"/>
        </w:rPr>
        <w:t>三是推进重大项目建设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</w:rPr>
        <w:t>。对照</w:t>
      </w:r>
      <w:r>
        <w:rPr>
          <w:rFonts w:ascii="Times New Roman" w:hAnsi="Times New Roman" w:eastAsia="方正仿宋_GBK"/>
          <w:spacing w:val="0"/>
          <w:sz w:val="32"/>
          <w:szCs w:val="32"/>
        </w:rPr>
        <w:t>建设项目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续建、前期、新开工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三张清单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，高效调配项目资金。上半年</w:t>
      </w:r>
      <w:r>
        <w:rPr>
          <w:rFonts w:ascii="Times New Roman" w:hAnsi="Times New Roman" w:eastAsia="方正仿宋_GBK"/>
          <w:spacing w:val="0"/>
          <w:sz w:val="32"/>
          <w:szCs w:val="32"/>
        </w:rPr>
        <w:t>，我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区努力争取新增</w:t>
      </w:r>
      <w:r>
        <w:rPr>
          <w:rFonts w:ascii="Times New Roman" w:hAnsi="Times New Roman" w:eastAsia="方正仿宋_GBK"/>
          <w:spacing w:val="0"/>
          <w:sz w:val="32"/>
          <w:szCs w:val="32"/>
        </w:rPr>
        <w:t>政府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债务限额4</w:t>
      </w:r>
      <w:r>
        <w:rPr>
          <w:rFonts w:ascii="Times New Roman" w:hAnsi="Times New Roman" w:eastAsia="方正仿宋_GBK"/>
          <w:spacing w:val="0"/>
          <w:sz w:val="32"/>
          <w:szCs w:val="32"/>
        </w:rPr>
        <w:t>7.23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亿元，已到位新增债券</w:t>
      </w:r>
      <w:r>
        <w:rPr>
          <w:rFonts w:ascii="Times New Roman" w:hAnsi="Times New Roman" w:eastAsia="方正仿宋_GBK"/>
          <w:spacing w:val="0"/>
          <w:sz w:val="32"/>
          <w:szCs w:val="32"/>
        </w:rPr>
        <w:t>21亿元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，截至6月底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实际支出</w:t>
      </w:r>
      <w:r>
        <w:rPr>
          <w:rFonts w:ascii="Times New Roman" w:hAnsi="Times New Roman" w:eastAsia="方正仿宋_GBK"/>
          <w:spacing w:val="0"/>
          <w:sz w:val="32"/>
          <w:szCs w:val="32"/>
        </w:rPr>
        <w:t>19.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42</w:t>
      </w:r>
      <w:r>
        <w:rPr>
          <w:rFonts w:ascii="Times New Roman" w:hAnsi="Times New Roman" w:eastAsia="方正仿宋_GBK"/>
          <w:spacing w:val="0"/>
          <w:sz w:val="32"/>
          <w:szCs w:val="32"/>
        </w:rPr>
        <w:t>亿元，进度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92.5</w:t>
      </w:r>
      <w:r>
        <w:rPr>
          <w:rFonts w:ascii="Times New Roman" w:hAnsi="Times New Roman" w:eastAsia="方正仿宋_GBK"/>
          <w:spacing w:val="0"/>
          <w:sz w:val="32"/>
          <w:szCs w:val="32"/>
        </w:rPr>
        <w:t>%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，有力推进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两江四岸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治理提升工程、重庆市中医骨科医院迁建、老旧小区改造等市区重点工程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楷体_GBK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pacing w:val="0"/>
          <w:sz w:val="32"/>
          <w:szCs w:val="32"/>
        </w:rPr>
        <w:t>三</w:t>
      </w:r>
      <w:r>
        <w:rPr>
          <w:rFonts w:ascii="Times New Roman" w:hAnsi="Times New Roman" w:eastAsia="方正楷体_GBK"/>
          <w:spacing w:val="0"/>
          <w:sz w:val="32"/>
          <w:szCs w:val="32"/>
        </w:rPr>
        <w:t>）聚焦风险管控，严格政府债务管理。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一是政府债务风险管控有力</w:t>
      </w:r>
      <w:r>
        <w:rPr>
          <w:rFonts w:ascii="Times New Roman" w:hAnsi="Times New Roman" w:eastAsia="方正仿宋_GBK"/>
          <w:spacing w:val="0"/>
          <w:sz w:val="32"/>
          <w:szCs w:val="32"/>
        </w:rPr>
        <w:t>。严格实行政府债务限额管理，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截至6月底，</w:t>
      </w:r>
      <w:r>
        <w:rPr>
          <w:rFonts w:ascii="Times New Roman" w:hAnsi="Times New Roman" w:eastAsia="方正仿宋_GBK"/>
          <w:spacing w:val="0"/>
          <w:sz w:val="32"/>
          <w:szCs w:val="32"/>
        </w:rPr>
        <w:t>政府债务余额161.01亿元，严格控制在债务限额范围内。争取到位再融资债券1.9亿元，用于置换偿还到期政府债务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。将政府债务利息足额纳入预算安排，</w:t>
      </w:r>
      <w:r>
        <w:rPr>
          <w:rFonts w:ascii="Times New Roman" w:hAnsi="Times New Roman" w:eastAsia="方正仿宋_GBK"/>
          <w:spacing w:val="0"/>
          <w:sz w:val="32"/>
          <w:szCs w:val="32"/>
        </w:rPr>
        <w:t>切实防范和化解债务风险。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二是加强平台公司债务监管。</w:t>
      </w:r>
      <w:r>
        <w:rPr>
          <w:rFonts w:ascii="Times New Roman" w:hAnsi="Times New Roman" w:eastAsia="方正仿宋_GBK"/>
          <w:spacing w:val="0"/>
          <w:sz w:val="32"/>
          <w:szCs w:val="32"/>
        </w:rPr>
        <w:t>按照全市统一部署，将平台公司经营性债务纳入预算管理一体化系统监管，按月更新平台公司银行账户余额、新增融资、还本付息等情况，进一步规范债务统计监管，防止平台公司债务向政府性债务转移。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三是建立健全债务防控机制</w:t>
      </w:r>
      <w:r>
        <w:rPr>
          <w:rFonts w:ascii="Times New Roman" w:hAnsi="Times New Roman" w:eastAsia="方正仿宋_GBK"/>
          <w:spacing w:val="0"/>
          <w:sz w:val="32"/>
          <w:szCs w:val="32"/>
        </w:rPr>
        <w:t>。对标市级方案，结合我区实际情况，制定渝中区防范化解政府债务风险行动方案，明确各责任单位2023-2027年目标任务，拟定2023年工作计划，定期分析复盘，强化跟踪督导、打表推进。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pacing w:val="0"/>
          <w:sz w:val="32"/>
          <w:szCs w:val="32"/>
        </w:rPr>
        <w:t>四</w:t>
      </w:r>
      <w:r>
        <w:rPr>
          <w:rFonts w:ascii="Times New Roman" w:hAnsi="Times New Roman" w:eastAsia="方正楷体_GBK"/>
          <w:color w:val="000000"/>
          <w:spacing w:val="0"/>
          <w:sz w:val="32"/>
          <w:szCs w:val="32"/>
        </w:rPr>
        <w:t>）聚焦资金效益，推进预算绩效管理。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一是强化预算绩效管理理念。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将预算绩效管理纳入区委党校主体班培训课程，强化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领导抓、抓领导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意识。将部门绩效管理情况在政府实绩考核中单列，提升指标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</w:rPr>
        <w:t>分值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二是推进绩效指标体系建设。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在部门整体支出压力指标编制全覆盖基础上，进一步选取街道类项目支出试点搭建项目支出压力指标体系，梳理形成街道类项目支出压力指标200余条。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三是落实绩效评价结果运用。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修订完善区级挂钩办法，明确将部门整体绩效与部门公用经费和一般性项目支出挂钩。邀请人大代表、行业专家，对2个上年度测评项目整改落实情况开展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回头看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，推动评价结果整改落实到位。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000000"/>
          <w:spacing w:val="0"/>
          <w:sz w:val="32"/>
          <w:szCs w:val="32"/>
        </w:rPr>
        <w:t>五</w:t>
      </w:r>
      <w:r>
        <w:rPr>
          <w:rFonts w:ascii="Times New Roman" w:hAnsi="Times New Roman" w:eastAsia="方正楷体_GBK"/>
          <w:color w:val="000000"/>
          <w:spacing w:val="0"/>
          <w:sz w:val="32"/>
          <w:szCs w:val="32"/>
        </w:rPr>
        <w:t>）聚焦财政改革，优化预算管理。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一是推进预算管理改革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。拓展预算一体化管理系统功能</w:t>
      </w:r>
      <w:r>
        <w:rPr>
          <w:rFonts w:ascii="Times New Roman" w:hAnsi="Times New Roman" w:eastAsia="方正仿宋_GBK"/>
          <w:spacing w:val="0"/>
          <w:sz w:val="32"/>
          <w:szCs w:val="32"/>
        </w:rPr>
        <w:t>，上线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监测、地方评价、债务风险管控模块，以数字化强化财政运行监管。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持续</w:t>
      </w:r>
      <w:r>
        <w:rPr>
          <w:rFonts w:ascii="Times New Roman" w:hAnsi="Times New Roman" w:eastAsia="方正仿宋_GBK"/>
          <w:spacing w:val="0"/>
          <w:sz w:val="32"/>
          <w:szCs w:val="32"/>
        </w:rPr>
        <w:t>落实政府过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紧日子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精神，硬化预算约束，规范财政经费追加流程，严控一般性支出，严控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三公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经费预算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spacing w:val="0"/>
          <w:sz w:val="32"/>
          <w:szCs w:val="32"/>
        </w:rPr>
        <w:t>优化政府采购营商环境，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在全市率先全面推开政府采购电子招投标。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二是推动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三资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盘活</w:t>
      </w:r>
      <w:r>
        <w:rPr>
          <w:rFonts w:ascii="Times New Roman" w:hAnsi="Times New Roman" w:eastAsia="方正仿宋_GBK"/>
          <w:spacing w:val="0"/>
          <w:sz w:val="32"/>
          <w:szCs w:val="32"/>
        </w:rPr>
        <w:t>。摸清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三资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家底，清理全区行政事业单位及国有企业实际管理的停车位1万余个。清理各街道办事处及下属社区管理、使用、租赁的房屋资产共计约11万平方米，挖掘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三资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盘活潜力。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三是强化财政监督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  <w:bookmarkStart w:id="0" w:name="_Hlk91833729"/>
      <w:bookmarkStart w:id="1" w:name="_Hlk90409989"/>
      <w:r>
        <w:rPr>
          <w:rFonts w:ascii="Times New Roman" w:hAnsi="Times New Roman" w:eastAsia="方正仿宋_GBK"/>
          <w:spacing w:val="0"/>
          <w:sz w:val="32"/>
          <w:szCs w:val="32"/>
        </w:rPr>
        <w:t>扎实开展财会监督专项行动、政府购买服务实施情况专项整治、行政事业单位内部控制报告编报核查等工作，不断加强对国库管理、国有资产处置管理、政府购买服务等领域的日常监督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，推进部门内控体系建设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黑体_GBK"/>
          <w:spacing w:val="0"/>
          <w:sz w:val="32"/>
          <w:szCs w:val="32"/>
        </w:rPr>
      </w:pPr>
      <w:r>
        <w:rPr>
          <w:rFonts w:ascii="Times New Roman" w:hAnsi="Times New Roman" w:eastAsia="方正黑体_GBK"/>
          <w:spacing w:val="0"/>
          <w:sz w:val="32"/>
          <w:szCs w:val="32"/>
        </w:rPr>
        <w:t>三、当前面临的</w:t>
      </w:r>
      <w:r>
        <w:rPr>
          <w:rFonts w:hint="eastAsia" w:ascii="Times New Roman" w:hAnsi="Times New Roman" w:eastAsia="方正黑体_GBK"/>
          <w:spacing w:val="0"/>
          <w:sz w:val="32"/>
          <w:szCs w:val="32"/>
        </w:rPr>
        <w:t>主要</w:t>
      </w:r>
      <w:r>
        <w:rPr>
          <w:rFonts w:ascii="Times New Roman" w:hAnsi="Times New Roman" w:eastAsia="方正黑体_GBK"/>
          <w:spacing w:val="0"/>
          <w:sz w:val="32"/>
          <w:szCs w:val="32"/>
        </w:rPr>
        <w:t>困难</w:t>
      </w:r>
      <w:r>
        <w:rPr>
          <w:rFonts w:hint="eastAsia" w:ascii="Times New Roman" w:hAnsi="Times New Roman" w:eastAsia="方正黑体_GBK"/>
          <w:spacing w:val="0"/>
          <w:sz w:val="32"/>
          <w:szCs w:val="32"/>
        </w:rPr>
        <w:t>和</w:t>
      </w:r>
      <w:r>
        <w:rPr>
          <w:rFonts w:ascii="Times New Roman" w:hAnsi="Times New Roman" w:eastAsia="方正黑体_GBK"/>
          <w:spacing w:val="0"/>
          <w:sz w:val="32"/>
          <w:szCs w:val="32"/>
        </w:rPr>
        <w:t>下半年主要工作</w:t>
      </w:r>
    </w:p>
    <w:p>
      <w:pPr>
        <w:keepNext w:val="0"/>
        <w:keepLines w:val="0"/>
        <w:pageBreakBefore w:val="0"/>
        <w:widowControl w:val="0"/>
        <w:tabs>
          <w:tab w:val="left" w:pos="3926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上半年，全区财政运行总体平稳。但外部环境依然复杂严峻，经济复苏仍需时间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</w:t>
      </w:r>
      <w:r>
        <w:rPr>
          <w:rFonts w:ascii="Times New Roman" w:hAnsi="Times New Roman" w:eastAsia="方正仿宋_GBK"/>
          <w:spacing w:val="0"/>
          <w:sz w:val="32"/>
          <w:szCs w:val="32"/>
        </w:rPr>
        <w:t>我区财政收入依然面临较大压力，财政收支矛盾依旧突出，财政运行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面临巨大</w:t>
      </w:r>
      <w:r>
        <w:rPr>
          <w:rFonts w:ascii="Times New Roman" w:hAnsi="Times New Roman" w:eastAsia="方正仿宋_GBK"/>
          <w:spacing w:val="0"/>
          <w:sz w:val="32"/>
          <w:szCs w:val="32"/>
        </w:rPr>
        <w:t>困难：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一是财政收入恢复基础尚不牢固</w:t>
      </w:r>
      <w:r>
        <w:rPr>
          <w:rFonts w:ascii="Times New Roman" w:hAnsi="Times New Roman" w:eastAsia="方正仿宋_GBK"/>
          <w:spacing w:val="0"/>
          <w:sz w:val="32"/>
          <w:szCs w:val="32"/>
        </w:rPr>
        <w:t>。上半年剔除行政事业单位资产过户、欠税补缴等一次性因素后，区级税收收入呈现下降状态，尚未恢复到疫情前水平、较2019年同期短收1.55亿元。同时，受当前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经济形势、宏观政策、市场预期、土地储备等影响，房地产业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</w:rPr>
        <w:t>持续疲软，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传统支撑行业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</w:rPr>
        <w:t>如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金融业短期动力不足，新兴行业还未形成区级税收新增长点</w:t>
      </w:r>
      <w:r>
        <w:rPr>
          <w:rFonts w:hint="eastAsia" w:ascii="Times New Roman" w:hAnsi="Times New Roman" w:eastAsia="方正仿宋_GBK"/>
          <w:color w:val="000000"/>
          <w:spacing w:val="0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pacing w:val="0"/>
          <w:kern w:val="0"/>
          <w:sz w:val="32"/>
          <w:szCs w:val="32"/>
        </w:rPr>
        <w:t>年初预计的土地收入仍有较大不确定性。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二是财政平衡难度大。</w:t>
      </w:r>
      <w:r>
        <w:rPr>
          <w:rFonts w:ascii="Times New Roman" w:hAnsi="Times New Roman" w:eastAsia="方正仿宋_GBK"/>
          <w:bCs/>
          <w:color w:val="000000"/>
          <w:spacing w:val="0"/>
          <w:sz w:val="32"/>
          <w:szCs w:val="32"/>
        </w:rPr>
        <w:t>结算去年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</w:rPr>
        <w:t>的</w:t>
      </w:r>
      <w:r>
        <w:rPr>
          <w:rFonts w:ascii="Times New Roman" w:hAnsi="Times New Roman" w:eastAsia="方正仿宋_GBK"/>
          <w:spacing w:val="0"/>
          <w:sz w:val="32"/>
          <w:szCs w:val="32"/>
        </w:rPr>
        <w:t>疫情防控经费、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部分</w:t>
      </w:r>
      <w:r>
        <w:rPr>
          <w:rFonts w:ascii="Times New Roman" w:hAnsi="Times New Roman" w:eastAsia="方正仿宋_GBK"/>
          <w:spacing w:val="0"/>
          <w:sz w:val="32"/>
          <w:szCs w:val="32"/>
        </w:rPr>
        <w:t>暂缓到今年支出的建设项目，教育、科技、社保等重点支出刚性增长，产业、建设等支出需求增加，</w:t>
      </w:r>
      <w:r>
        <w:rPr>
          <w:rFonts w:hint="eastAsia" w:ascii="Times New Roman" w:hAnsi="Times New Roman" w:eastAsia="方正仿宋_GBK"/>
          <w:spacing w:val="0"/>
          <w:sz w:val="32"/>
          <w:szCs w:val="32"/>
          <w:u w:val="none"/>
        </w:rPr>
        <w:t>加大</w:t>
      </w:r>
      <w:r>
        <w:rPr>
          <w:rFonts w:hint="eastAsia" w:ascii="Times New Roman" w:hAnsi="Times New Roman" w:eastAsia="方正仿宋_GBK"/>
          <w:spacing w:val="0"/>
          <w:sz w:val="32"/>
          <w:szCs w:val="32"/>
          <w:u w:val="none"/>
          <w:lang w:eastAsia="zh-CN"/>
        </w:rPr>
        <w:t>了</w:t>
      </w:r>
      <w:r>
        <w:rPr>
          <w:rFonts w:hint="eastAsia" w:ascii="Times New Roman" w:hAnsi="Times New Roman" w:eastAsia="方正仿宋_GBK"/>
          <w:spacing w:val="0"/>
          <w:sz w:val="32"/>
          <w:szCs w:val="32"/>
          <w:u w:val="none"/>
        </w:rPr>
        <w:t>财政今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年平衡压力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三是债务风险不容忽视。</w:t>
      </w:r>
      <w:r>
        <w:rPr>
          <w:rFonts w:ascii="Times New Roman" w:hAnsi="Times New Roman" w:eastAsia="方正仿宋_GBK"/>
          <w:spacing w:val="0"/>
          <w:sz w:val="32"/>
          <w:szCs w:val="32"/>
        </w:rPr>
        <w:t>我区政府性债务风险总体可控，但常规综合财力规模较小，近年新增发行政府债券增速较快，政府债务率上升速度较快，政府债务风险已处于橙色区域，新增债券空间缩小。</w:t>
      </w:r>
      <w:r>
        <w:rPr>
          <w:rFonts w:ascii="Times New Roman" w:hAnsi="Times New Roman" w:eastAsia="方正仿宋_GBK"/>
          <w:b/>
          <w:bCs/>
          <w:color w:val="000000"/>
          <w:spacing w:val="0"/>
          <w:sz w:val="32"/>
          <w:szCs w:val="32"/>
        </w:rPr>
        <w:t>四是资金使用绩效不高。</w:t>
      </w:r>
      <w:r>
        <w:rPr>
          <w:rFonts w:ascii="Times New Roman" w:hAnsi="Times New Roman" w:eastAsia="方正仿宋_GBK"/>
          <w:spacing w:val="0"/>
          <w:sz w:val="32"/>
          <w:szCs w:val="32"/>
        </w:rPr>
        <w:t>一些部门绩效意识不强、绩效运行监督结果不理想，部分单位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存在项目资金混用、超范围使用等现象，</w:t>
      </w:r>
      <w:r>
        <w:rPr>
          <w:rFonts w:ascii="Times New Roman" w:hAnsi="Times New Roman" w:eastAsia="方正仿宋_GBK"/>
          <w:spacing w:val="0"/>
          <w:sz w:val="32"/>
          <w:szCs w:val="32"/>
        </w:rPr>
        <w:t>资金使用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绩效和</w:t>
      </w:r>
      <w:r>
        <w:rPr>
          <w:rFonts w:ascii="Times New Roman" w:hAnsi="Times New Roman" w:eastAsia="方正仿宋_GBK"/>
          <w:spacing w:val="0"/>
          <w:sz w:val="32"/>
          <w:szCs w:val="32"/>
        </w:rPr>
        <w:t>规范性有待进一步提高。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  <w:u w:val="none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下半年，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我们</w:t>
      </w:r>
      <w:r>
        <w:rPr>
          <w:rFonts w:ascii="Times New Roman" w:hAnsi="Times New Roman" w:eastAsia="方正仿宋_GBK"/>
          <w:spacing w:val="0"/>
          <w:sz w:val="32"/>
          <w:szCs w:val="32"/>
        </w:rPr>
        <w:t>将紧紧围绕中央、市、区决策部署，积极发挥财政职能作用，严格执行人大批准的预算，主动应对财政收支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紧平衡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状态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</w:rPr>
        <w:t>扎扎实实做好财政各项工作，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  <w:lang w:eastAsia="zh-CN"/>
        </w:rPr>
        <w:t>全力推进“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</w:rPr>
        <w:t>四化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</w:rPr>
        <w:t>现代都市、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</w:rPr>
        <w:t>四区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</w:rPr>
        <w:t>首善之地</w:t>
      </w:r>
      <w:r>
        <w:rPr>
          <w:rFonts w:hint="eastAsia" w:ascii="Times New Roman" w:hAnsi="Times New Roman" w:eastAsia="方正仿宋_GBK" w:cs="方正仿宋_GBK"/>
          <w:spacing w:val="0"/>
          <w:sz w:val="32"/>
          <w:u w:val="none"/>
          <w:lang w:eastAsia="zh-CN"/>
        </w:rPr>
        <w:t>建设</w:t>
      </w:r>
      <w:r>
        <w:rPr>
          <w:rFonts w:ascii="Times New Roman" w:hAnsi="Times New Roman" w:eastAsia="方正仿宋_GBK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楷体_GBK"/>
          <w:spacing w:val="0"/>
          <w:sz w:val="32"/>
          <w:szCs w:val="32"/>
        </w:rPr>
        <w:t>（一）</w:t>
      </w:r>
      <w:r>
        <w:rPr>
          <w:rFonts w:ascii="Times New Roman" w:hAnsi="Times New Roman" w:eastAsia="方正楷体_GBK"/>
          <w:bCs/>
          <w:spacing w:val="0"/>
          <w:sz w:val="32"/>
          <w:szCs w:val="32"/>
        </w:rPr>
        <w:t>迎难而上，提高财政统筹能力。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一是抓实财政收入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。按照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</w:rPr>
        <w:t>年初</w:t>
      </w:r>
      <w:r>
        <w:rPr>
          <w:rFonts w:ascii="Times New Roman" w:hAnsi="Times New Roman" w:eastAsia="方正仿宋_GBK"/>
          <w:spacing w:val="0"/>
          <w:sz w:val="32"/>
          <w:szCs w:val="32"/>
        </w:rPr>
        <w:t>区人代会批复的收入目标，按月、按季度分解落实下半年收入目标，强化收入分析研判，及时制定应对策略。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积极</w:t>
      </w:r>
      <w:r>
        <w:rPr>
          <w:rFonts w:ascii="Times New Roman" w:hAnsi="Times New Roman" w:eastAsia="方正仿宋_GBK"/>
          <w:spacing w:val="0"/>
          <w:sz w:val="32"/>
          <w:szCs w:val="32"/>
        </w:rPr>
        <w:t>挖潜增收、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认真</w:t>
      </w:r>
      <w:r>
        <w:rPr>
          <w:rFonts w:ascii="Times New Roman" w:hAnsi="Times New Roman" w:eastAsia="方正仿宋_GBK"/>
          <w:spacing w:val="0"/>
          <w:sz w:val="32"/>
          <w:szCs w:val="32"/>
        </w:rPr>
        <w:t>梳理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重点</w:t>
      </w:r>
      <w:r>
        <w:rPr>
          <w:rFonts w:ascii="Times New Roman" w:hAnsi="Times New Roman" w:eastAsia="方正仿宋_GBK"/>
          <w:spacing w:val="0"/>
          <w:sz w:val="32"/>
          <w:szCs w:val="32"/>
        </w:rPr>
        <w:t>国有企业涉税事宜，抓好非税收入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应收尽收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、推动土地收入尽快实现。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二是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</w:rPr>
        <w:t>严格落实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</w:rPr>
        <w:t>紧日子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围绕制度建设、预算编制、预算执行等，持之以恒</w:t>
      </w:r>
      <w:r>
        <w:rPr>
          <w:rFonts w:ascii="Times New Roman" w:hAnsi="Times New Roman" w:eastAsia="方正仿宋_GBK"/>
          <w:spacing w:val="0"/>
          <w:sz w:val="32"/>
          <w:szCs w:val="32"/>
        </w:rPr>
        <w:t>落实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紧日子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要求。严格执行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紧日子十条举措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，形成过紧日子长效机制。</w:t>
      </w:r>
      <w:r>
        <w:rPr>
          <w:rFonts w:ascii="Times New Roman" w:hAnsi="Times New Roman" w:eastAsia="方正仿宋_GBK"/>
          <w:spacing w:val="0"/>
          <w:sz w:val="32"/>
          <w:szCs w:val="32"/>
        </w:rPr>
        <w:t>严格落实年初预算，严控年度中新增支出，切实加快项目细化和预算执行进度，及时收回执行偏慢、绩效不高的项目支出，加强部门结余资金统筹。通过压减一般性支出、合理安排支出节奏等方式腾退财力用于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及重点项目建设、重点领域支出。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三是推进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三资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盘活。</w:t>
      </w:r>
      <w:r>
        <w:rPr>
          <w:rFonts w:ascii="Times New Roman" w:hAnsi="Times New Roman" w:eastAsia="方正仿宋_GBK"/>
          <w:spacing w:val="0"/>
          <w:sz w:val="32"/>
          <w:szCs w:val="32"/>
        </w:rPr>
        <w:t>围绕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资金增效、资产增值、资源提效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，深化政府投融资改革，增强重大战略任务财政保障能力。对厘清的各街道房屋资产，采取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分类集中、归口管理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的原则进行管理，提高资产使用效率。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整合区属国有停车位资源</w:t>
      </w:r>
      <w:r>
        <w:rPr>
          <w:rFonts w:ascii="Times New Roman" w:hAnsi="Times New Roman" w:eastAsia="方正仿宋_GBK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通过划转、委托管理、买断管理权等多种方式实现停车运营公司统一运营，优化全区停车管理，提升资源经济效益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bCs/>
          <w:spacing w:val="0"/>
          <w:sz w:val="32"/>
          <w:szCs w:val="32"/>
        </w:rPr>
      </w:pPr>
      <w:r>
        <w:rPr>
          <w:rFonts w:ascii="Times New Roman" w:hAnsi="Times New Roman" w:eastAsia="方正楷体_GBK"/>
          <w:spacing w:val="0"/>
          <w:sz w:val="32"/>
          <w:szCs w:val="32"/>
        </w:rPr>
        <w:t>（二）全力以赴，促进市场主体发展。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一是做好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稳企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统筹做好全区产业政策兑现工作，稳住全区重点企业基本盘，深入落实协同护税工作机制、强化考核，梳理异地纳税、异地经营企业情况并引导回流。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二是做好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育企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持续完善区级产业扶持政策，构建系统全面、分类明确、协调配套、指引清晰的产业促进政策体系，探索建立产业政策事前绩效评估、事后跟踪评价机制。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三是做好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引企</w:t>
      </w:r>
      <w:r>
        <w:rPr>
          <w:rFonts w:hint="eastAsia" w:ascii="Times New Roman" w:hAnsi="Times New Roman" w:eastAsia="方正仿宋_GBK"/>
          <w:b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/>
          <w:spacing w:val="0"/>
          <w:sz w:val="32"/>
          <w:szCs w:val="32"/>
        </w:rPr>
        <w:t>。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坚持目标导向、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  <w:lang w:eastAsia="zh-CN"/>
        </w:rPr>
        <w:t>结果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导向，探索制定招商细分行业目录、招商企业名录，鼓励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以商引商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，积极发挥国有平台企业作用，储备优质载体，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</w:rPr>
        <w:t>组建产业投资基金，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以投带引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  <w:lang w:eastAsia="zh-CN"/>
        </w:rPr>
        <w:t>”“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以投代补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bCs/>
          <w:spacing w:val="0"/>
          <w:sz w:val="32"/>
          <w:szCs w:val="32"/>
        </w:rPr>
        <w:t>撬动社会资本，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助力产业提档升级。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楷体_GBK"/>
          <w:spacing w:val="0"/>
          <w:sz w:val="32"/>
          <w:szCs w:val="32"/>
        </w:rPr>
        <w:t>（三）提质增效，深化财政管理改革。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一是深化预算管理制度改革。</w:t>
      </w:r>
      <w:r>
        <w:rPr>
          <w:rFonts w:ascii="Times New Roman" w:hAnsi="Times New Roman" w:eastAsia="方正仿宋_GBK"/>
          <w:spacing w:val="0"/>
          <w:sz w:val="32"/>
          <w:szCs w:val="32"/>
        </w:rPr>
        <w:t>依托预算一体化系统，完善项目支出标准体系，优化预算编制。持续强化预算约束，进一步规范预算执行，制定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渝中区</w:t>
      </w:r>
      <w:r>
        <w:rPr>
          <w:rFonts w:ascii="Times New Roman" w:hAnsi="Times New Roman" w:eastAsia="方正仿宋_GBK"/>
          <w:spacing w:val="0"/>
          <w:sz w:val="32"/>
          <w:szCs w:val="32"/>
        </w:rPr>
        <w:t>财政票据管理实施细则、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规范</w:t>
      </w:r>
      <w:r>
        <w:rPr>
          <w:rFonts w:ascii="Times New Roman" w:hAnsi="Times New Roman" w:eastAsia="方正仿宋_GBK"/>
          <w:spacing w:val="0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级</w:t>
      </w:r>
      <w:r>
        <w:rPr>
          <w:rFonts w:ascii="Times New Roman" w:hAnsi="Times New Roman" w:eastAsia="方正仿宋_GBK"/>
          <w:spacing w:val="0"/>
          <w:sz w:val="32"/>
          <w:szCs w:val="32"/>
        </w:rPr>
        <w:t>预算单位银行账户管理。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二是强化预算绩效管理。</w:t>
      </w:r>
      <w:r>
        <w:rPr>
          <w:rFonts w:ascii="Times New Roman" w:hAnsi="Times New Roman" w:eastAsia="方正仿宋_GBK"/>
          <w:spacing w:val="0"/>
          <w:sz w:val="32"/>
          <w:szCs w:val="32"/>
        </w:rPr>
        <w:t>严格落实区人大常委会《关于进一步加强预算绩效管理的决定》，加快推进项目支出压力指标库建设，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深入开展重大政策和项目事前评估，</w:t>
      </w:r>
      <w:r>
        <w:rPr>
          <w:rFonts w:ascii="Times New Roman" w:hAnsi="Times New Roman" w:eastAsia="方正仿宋_GBK"/>
          <w:spacing w:val="0"/>
          <w:sz w:val="32"/>
          <w:szCs w:val="32"/>
        </w:rPr>
        <w:t>提高财政资金使用效益。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三是跟进财政体制改革。</w:t>
      </w:r>
      <w:r>
        <w:rPr>
          <w:rFonts w:ascii="Times New Roman" w:hAnsi="Times New Roman" w:eastAsia="方正仿宋_GBK"/>
          <w:spacing w:val="0"/>
          <w:sz w:val="32"/>
          <w:szCs w:val="32"/>
        </w:rPr>
        <w:t>摸清底数，</w:t>
      </w:r>
      <w:r>
        <w:rPr>
          <w:rFonts w:ascii="Times New Roman" w:hAnsi="Times New Roman" w:eastAsia="方正仿宋_GBK"/>
          <w:bCs/>
          <w:spacing w:val="0"/>
          <w:sz w:val="32"/>
          <w:szCs w:val="32"/>
        </w:rPr>
        <w:t>测算地方共同事权的支出情况和现有转移支付分配情况。</w:t>
      </w:r>
      <w:r>
        <w:rPr>
          <w:rFonts w:ascii="Times New Roman" w:hAnsi="Times New Roman" w:eastAsia="方正仿宋_GBK"/>
          <w:spacing w:val="0"/>
          <w:sz w:val="32"/>
          <w:szCs w:val="32"/>
        </w:rPr>
        <w:t>积极对接，主动汇报渝中思路想法，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争取上级理解支持，促进财政体制完善，并</w:t>
      </w:r>
      <w:r>
        <w:rPr>
          <w:rFonts w:ascii="Times New Roman" w:hAnsi="Times New Roman" w:eastAsia="方正仿宋_GBK"/>
          <w:spacing w:val="0"/>
          <w:sz w:val="32"/>
          <w:szCs w:val="32"/>
        </w:rPr>
        <w:t>配合做好企业基本养老保险改革。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楷体_GBK"/>
          <w:spacing w:val="0"/>
          <w:sz w:val="32"/>
          <w:szCs w:val="32"/>
        </w:rPr>
        <w:t>（四）未雨绸缪，筑牢风险防控底线。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一是兜牢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b/>
          <w:bCs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底线</w:t>
      </w:r>
      <w:r>
        <w:rPr>
          <w:rFonts w:ascii="Times New Roman" w:hAnsi="Times New Roman" w:eastAsia="方正仿宋_GBK"/>
          <w:spacing w:val="0"/>
          <w:sz w:val="32"/>
          <w:szCs w:val="32"/>
        </w:rPr>
        <w:t>。坚持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支出在财政支出中的优先顺序，严格落实中央、市、区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要求，按照全市统一要求开展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三保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预算执行联动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监测</w:t>
      </w:r>
      <w:r>
        <w:rPr>
          <w:rFonts w:ascii="Times New Roman" w:hAnsi="Times New Roman" w:eastAsia="方正仿宋_GBK"/>
          <w:spacing w:val="0"/>
          <w:sz w:val="32"/>
          <w:szCs w:val="32"/>
        </w:rPr>
        <w:t>和动态预警，确保财政平稳运行。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二是严格政府债务管理。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一方面，做好项目储备</w:t>
      </w:r>
      <w:r>
        <w:rPr>
          <w:rFonts w:ascii="Times New Roman" w:hAnsi="Times New Roman" w:eastAsia="方正仿宋_GBK"/>
          <w:spacing w:val="0"/>
          <w:sz w:val="32"/>
          <w:szCs w:val="32"/>
        </w:rPr>
        <w:t>，加快债券资金使用进度，充分发挥政府投资杠杆作用拉动社会投资。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另一方面，</w:t>
      </w:r>
      <w:r>
        <w:rPr>
          <w:rFonts w:ascii="Times New Roman" w:hAnsi="Times New Roman" w:eastAsia="方正仿宋_GBK"/>
          <w:spacing w:val="0"/>
          <w:sz w:val="32"/>
          <w:szCs w:val="32"/>
        </w:rPr>
        <w:t>坚持底线思维，坚决遏制新增隐性债务，切实防范化解债务风险。严格实行政府债务限额管理，坚持债务风险监测预警常态化。分类有序做好资金来源谋划和调度，统筹各类收入持续化解存量债务，坚决守住不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spacing w:val="0"/>
          <w:sz w:val="32"/>
          <w:szCs w:val="32"/>
        </w:rPr>
        <w:t>爆雷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spacing w:val="0"/>
          <w:sz w:val="32"/>
          <w:szCs w:val="32"/>
        </w:rPr>
        <w:t>底线。</w:t>
      </w:r>
      <w:r>
        <w:rPr>
          <w:rFonts w:ascii="Times New Roman" w:hAnsi="Times New Roman" w:eastAsia="方正仿宋_GBK"/>
          <w:b/>
          <w:bCs/>
          <w:spacing w:val="0"/>
          <w:sz w:val="32"/>
          <w:szCs w:val="32"/>
        </w:rPr>
        <w:t>三是加强财政监督。</w:t>
      </w:r>
      <w:r>
        <w:rPr>
          <w:rFonts w:ascii="Times New Roman" w:hAnsi="Times New Roman" w:eastAsia="方正仿宋_GBK"/>
          <w:spacing w:val="0"/>
          <w:sz w:val="32"/>
          <w:szCs w:val="32"/>
        </w:rPr>
        <w:t>进一步落实人大联网监督要求，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提高财政资金支出效率。</w:t>
      </w:r>
      <w:r>
        <w:rPr>
          <w:rFonts w:ascii="Times New Roman" w:hAnsi="Times New Roman" w:eastAsia="方正仿宋_GBK"/>
          <w:spacing w:val="0"/>
          <w:sz w:val="32"/>
          <w:szCs w:val="32"/>
        </w:rPr>
        <w:t>扎实开展预算执行监督专项行动、行政事业单位会计信息质量检查等工作，持续深化财政内控建设。开展财务工作培训，提升财政干部业务素养和专业能力，降低业务风险和廉政风险。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spacing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6"/>
        </w:rPr>
      </w:pPr>
      <w:r>
        <w:rPr>
          <w:rFonts w:ascii="Times New Roman" w:hAnsi="Times New Roman" w:eastAsia="方正仿宋_GBK"/>
          <w:spacing w:val="0"/>
          <w:sz w:val="32"/>
          <w:szCs w:val="36"/>
        </w:rPr>
        <w:t>附件：1.重庆市渝中区2023年上半年财政收入执行情况表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/>
          <w:spacing w:val="0"/>
          <w:sz w:val="32"/>
          <w:szCs w:val="36"/>
        </w:rPr>
      </w:pPr>
      <w:r>
        <w:rPr>
          <w:rFonts w:ascii="Times New Roman" w:hAnsi="Times New Roman" w:eastAsia="方正仿宋_GBK"/>
          <w:spacing w:val="0"/>
          <w:sz w:val="32"/>
          <w:szCs w:val="36"/>
        </w:rPr>
        <w:t xml:space="preserve">      2.重庆市渝中区2023年上半年财政支出执行情况表</w:t>
      </w:r>
    </w:p>
    <w:p>
      <w:r>
        <w:br w:type="page"/>
      </w:r>
    </w:p>
    <w:p>
      <w:pPr>
        <w:pStyle w:val="4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-286385</wp:posOffset>
            </wp:positionV>
            <wp:extent cx="6076315" cy="7391400"/>
            <wp:effectExtent l="0" t="0" r="635" b="0"/>
            <wp:wrapNone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7391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/>
    <w:p>
      <w:r>
        <w:br w:type="page"/>
      </w:r>
    </w:p>
    <w:p>
      <w:pPr>
        <w:pStyle w:val="18"/>
      </w:pPr>
      <w:r>
        <w:pict>
          <v:shape id="_x0000_s2050" o:spid="_x0000_s2050" o:spt="75" alt="8811843371690248858638" type="#_x0000_t75" style="position:absolute;left:0pt;margin-left:-37.5pt;margin-top:0.95pt;height:941.8pt;width:1093.1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0" gain="79920f" blacklevel="5898f" o:title=""/>
            <o:lock v:ext="edit" aspectratio="t"/>
          </v:shape>
          <o:OLEObject Type="Embed" ProgID="Package" ShapeID="_x0000_s2050" DrawAspect="Content" ObjectID="_1468075725" r:id="rId9">
            <o:LockedField>false</o:LockedField>
          </o:OLEObject>
        </w:pict>
      </w:r>
    </w:p>
    <w:p>
      <w:pPr>
        <w:pStyle w:val="18"/>
      </w:pPr>
    </w:p>
    <w:p/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  <w:r>
        <w:pict>
          <v:shape id="_x0000_s2051" o:spid="_x0000_s2051" o:spt="75" alt="4941894961690248858646" type="#_x0000_t75" style="position:absolute;left:0pt;margin-left:-47.2pt;margin-top:4.1pt;height:454.7pt;width:1093.3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</v:shape>
          <o:OLEObject Type="Embed" ProgID="Package" ShapeID="_x0000_s2051" DrawAspect="Content" ObjectID="_1468075726" r:id="rId11">
            <o:LockedField>false</o:LockedField>
          </o:OLEObject>
        </w:pict>
      </w:r>
    </w:p>
    <w:p>
      <w:pPr>
        <w:pStyle w:val="18"/>
      </w:pPr>
    </w:p>
    <w:p>
      <w:pPr>
        <w:pStyle w:val="18"/>
      </w:pPr>
    </w:p>
    <w:p>
      <w:pPr>
        <w:pStyle w:val="18"/>
      </w:pPr>
    </w:p>
    <w:p>
      <w:pPr>
        <w:pStyle w:val="18"/>
      </w:pPr>
      <w:r>
        <w:rPr>
          <w:rFonts w:hint="eastAsia"/>
        </w:rPr>
        <w:object>
          <v:shape id="_x0000_i1025" o:spt="75" type="#_x0000_t75" style="height:136.5pt;width:450pt;" o:ole="t" filled="f" o:preferrelative="t" stroked="f" coordsize="21600,21600">
            <v:path/>
            <v:fill on="f" focussize="0,0"/>
            <v:stroke on="f" color="#000000"/>
            <v:imagedata r:id="rId14" o:title="8170357721690248858650"/>
            <o:lock v:ext="edit" aspectratio="t"/>
            <w10:wrap type="none"/>
            <w10:anchorlock/>
          </v:shape>
          <o:OLEObject Type="Embed" ProgID="Package" ShapeID="_x0000_i1025" DrawAspect="Content" ObjectID="_1468075727" r:id="rId13">
            <o:LockedField>false</o:LockedField>
          </o:OLEObject>
        </w:object>
      </w:r>
    </w:p>
    <w:p>
      <w:pPr>
        <w:pStyle w:val="18"/>
      </w:pPr>
    </w:p>
    <w:p>
      <w:pPr>
        <w:pStyle w:val="3"/>
      </w:pPr>
    </w:p>
    <w:p/>
    <w:p>
      <w:pPr>
        <w:pStyle w:val="3"/>
      </w:pPr>
    </w:p>
    <w:p/>
    <w:p>
      <w:pPr>
        <w:pStyle w:val="17"/>
      </w:pPr>
    </w:p>
    <w:p>
      <w:pPr>
        <w:pStyle w:val="17"/>
      </w:pPr>
    </w:p>
    <w:p>
      <w:pPr>
        <w:pStyle w:val="17"/>
      </w:pPr>
    </w:p>
    <w:p>
      <w:pPr>
        <w:pStyle w:val="17"/>
      </w:pPr>
    </w:p>
    <w:p/>
    <w:sectPr>
      <w:footerReference r:id="rId5" w:type="default"/>
      <w:footerReference r:id="rId6" w:type="even"/>
      <w:pgSz w:w="11906" w:h="16838"/>
      <w:pgMar w:top="1417" w:right="1587" w:bottom="1417" w:left="1587" w:header="850" w:footer="992" w:gutter="0"/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1027430" cy="259715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7430" cy="25971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8.95pt;height:20.45pt;width:80.9pt;mso-position-horizontal:outside;mso-position-horizontal-relative:margin;z-index:251659264;mso-width-relative:page;mso-height-relative:page;" filled="f" stroked="f" coordsize="21600,21600" o:gfxdata="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md7/vWAAAABwEAAA8AAAAAAAAAAQAgAAAAIgAAAGRycy9k&#10;b3ducmV2LnhtbFBLAQIUABQAAAAIAIdO4kDnKKAtBAIAAPc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280" w:firstLineChars="1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-122555</wp:posOffset>
              </wp:positionV>
              <wp:extent cx="1530350" cy="26924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350" cy="26924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0pt;margin-top:-9.65pt;height:21.2pt;width:120.5pt;mso-position-horizontal-relative:margin;z-index:251659264;mso-width-relative:page;mso-height-relative:page;" filled="f" stroked="f" coordsize="21600,21600" o:gfxdata="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JF1hdYAAAAHAQAADwAAAAAAAAABACAAAAAiAAAAZHJzL2Rv&#10;d25yZXYueG1sUEsBAhQAFAAAAAgAh07iQIOyDqEDAgAA+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280" w:firstLineChars="1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YTNjZmZkNjQ1NzQ3ZmE2Nzk3NzNmNjAzZTExNDMwMzkifQ=="/>
  </w:docVars>
  <w:rsids>
    <w:rsidRoot w:val="00000000"/>
    <w:rsid w:val="08DA2C94"/>
    <w:rsid w:val="09867761"/>
    <w:rsid w:val="0EE8142C"/>
    <w:rsid w:val="0FCE72CB"/>
    <w:rsid w:val="1E1124CF"/>
    <w:rsid w:val="20EB4033"/>
    <w:rsid w:val="2C0523F9"/>
    <w:rsid w:val="43CD7719"/>
    <w:rsid w:val="4F8505CD"/>
    <w:rsid w:val="52024A83"/>
    <w:rsid w:val="600022FF"/>
    <w:rsid w:val="65E427A4"/>
    <w:rsid w:val="757F3A41"/>
    <w:rsid w:val="7C59515D"/>
    <w:rsid w:val="7EC33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oc 3"/>
    <w:basedOn w:val="1"/>
    <w:next w:val="1"/>
    <w:qFormat/>
    <w:uiPriority w:val="0"/>
    <w:pPr>
      <w:ind w:left="840"/>
    </w:pPr>
  </w:style>
  <w:style w:type="paragraph" w:styleId="6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Arial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200" w:firstLineChars="200"/>
    </w:pPr>
  </w:style>
  <w:style w:type="paragraph" w:styleId="9">
    <w:name w:val="header"/>
    <w:basedOn w:val="1"/>
    <w:next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index 7"/>
    <w:basedOn w:val="1"/>
    <w:next w:val="1"/>
    <w:qFormat/>
    <w:uiPriority w:val="0"/>
    <w:pPr>
      <w:ind w:left="1200" w:leftChars="1200"/>
    </w:p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qFormat/>
    <w:uiPriority w:val="0"/>
  </w:style>
  <w:style w:type="paragraph" w:customStyle="1" w:styleId="17">
    <w:name w:val="NormalIndent"/>
    <w:basedOn w:val="1"/>
    <w:qFormat/>
    <w:uiPriority w:val="0"/>
    <w:rPr>
      <w:rFonts w:ascii="Times New Roman" w:hAnsi="Times New Roman"/>
    </w:rPr>
  </w:style>
  <w:style w:type="paragraph" w:customStyle="1" w:styleId="18">
    <w:name w:val="UserStyle_0"/>
    <w:basedOn w:val="1"/>
    <w:qFormat/>
    <w:uiPriority w:val="0"/>
    <w:pPr>
      <w:textAlignment w:val="baseline"/>
    </w:pPr>
    <w:rPr>
      <w:rFonts w:ascii="Times New Roman" w:hAnsi="Times New Roman"/>
    </w:rPr>
  </w:style>
  <w:style w:type="paragraph" w:customStyle="1" w:styleId="19">
    <w:name w:val="List Paragraph"/>
    <w:basedOn w:val="1"/>
    <w:qFormat/>
    <w:uiPriority w:val="0"/>
    <w:pPr>
      <w:ind w:firstLine="200" w:firstLineChars="200"/>
    </w:pPr>
  </w:style>
  <w:style w:type="paragraph" w:customStyle="1" w:styleId="20">
    <w:name w:val="Default"/>
    <w:next w:val="3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1">
    <w:name w:val="BodyText1I"/>
    <w:qFormat/>
    <w:uiPriority w:val="0"/>
    <w:pPr>
      <w:widowControl w:val="0"/>
      <w:spacing w:line="600" w:lineRule="exact"/>
      <w:ind w:firstLine="100" w:firstLineChars="100"/>
      <w:jc w:val="center"/>
      <w:textAlignment w:val="baseline"/>
    </w:pPr>
    <w:rPr>
      <w:rFonts w:ascii="黑体" w:hAnsi="Times New Roman" w:eastAsia="黑体" w:cs="Times New Roman"/>
      <w:color w:val="000000"/>
      <w:sz w:val="36"/>
      <w:szCs w:val="36"/>
      <w:lang w:val="en-US" w:eastAsia="zh-CN" w:bidi="ar-SA"/>
    </w:rPr>
  </w:style>
  <w:style w:type="paragraph" w:customStyle="1" w:styleId="22">
    <w:name w:val="BodyText"/>
    <w:qFormat/>
    <w:uiPriority w:val="0"/>
    <w:pPr>
      <w:widowControl w:val="0"/>
      <w:spacing w:line="600" w:lineRule="exact"/>
      <w:jc w:val="center"/>
      <w:textAlignment w:val="baseline"/>
    </w:pPr>
    <w:rPr>
      <w:rFonts w:ascii="黑体" w:hAnsi="Times New Roman" w:eastAsia="黑体" w:cs="Times New Roman"/>
      <w:color w:val="000000"/>
      <w:sz w:val="36"/>
      <w:szCs w:val="36"/>
      <w:lang w:val="en-US" w:eastAsia="zh-CN" w:bidi="ar-SA"/>
    </w:rPr>
  </w:style>
  <w:style w:type="paragraph" w:customStyle="1" w:styleId="23">
    <w:name w:val="样式 小四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4.emf"/><Relationship Id="rId13" Type="http://schemas.openxmlformats.org/officeDocument/2006/relationships/oleObject" Target="embeddings/oleObject3.bin"/><Relationship Id="rId12" Type="http://schemas.openxmlformats.org/officeDocument/2006/relationships/image" Target="media/image3.emf"/><Relationship Id="rId11" Type="http://schemas.openxmlformats.org/officeDocument/2006/relationships/oleObject" Target="embeddings/oleObject2.bin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16</Pages>
  <Words>5812</Words>
  <Characters>6080</Characters>
  <Lines>3</Lines>
  <Paragraphs>1</Paragraphs>
  <TotalTime>14</TotalTime>
  <ScaleCrop>false</ScaleCrop>
  <LinksUpToDate>false</LinksUpToDate>
  <CharactersWithSpaces>6128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2023-07-11T11:16:00Z</dcterms:created>
  <dc:creator>ASUS</dc:creator>
  <cp:lastModifiedBy>Administrator</cp:lastModifiedBy>
  <cp:lastPrinted>2023-07-25T02:48:00Z</cp:lastPrinted>
  <dcterms:modified xsi:type="dcterms:W3CDTF">2023-07-28T06:31:58Z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8CCA6E789F0842F2A21D2B15FC927CC6</vt:lpwstr>
  </property>
</Properties>
</file>