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7F7FA">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14:paraId="27CBA14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44580D99">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重庆市渝中区卫生健康委员会</w:t>
      </w:r>
    </w:p>
    <w:p w14:paraId="593C772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i w:val="0"/>
          <w:iCs w:val="0"/>
          <w:caps w:val="0"/>
          <w:color w:val="000000"/>
          <w:spacing w:val="0"/>
          <w:sz w:val="44"/>
          <w:szCs w:val="44"/>
        </w:rPr>
        <w:t>关于废止部分文件的通知</w:t>
      </w:r>
    </w:p>
    <w:p w14:paraId="20F8081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渝中卫发〔2024〕185号</w:t>
      </w:r>
    </w:p>
    <w:p w14:paraId="44EC302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p>
    <w:p w14:paraId="2190F80A">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区级国家机关各部门，各管委会、街道办事处，有关单位：</w:t>
      </w:r>
    </w:p>
    <w:p w14:paraId="16B5AE5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t>根据《重庆市行政规范性文件管理办法》要求，经渝中区卫生健康委员会2024年12月18日主任办公会审议，决定对《重庆市渝中区卫生健康委员会关于推进健康服务业高质量发展的实施意见》（渝中卫发〔2019〕96号）等2件规范性文件予以废止，自本决定印发之日起不再施行。</w:t>
      </w:r>
    </w:p>
    <w:p w14:paraId="34A1C39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000000"/>
          <w:sz w:val="32"/>
          <w:szCs w:val="32"/>
          <w:lang w:val="en-US" w:eastAsia="zh-CN"/>
        </w:rPr>
      </w:pPr>
    </w:p>
    <w:p w14:paraId="5A7AF7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附件：废止规范性文件目录</w:t>
      </w:r>
    </w:p>
    <w:p w14:paraId="2DE3D12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auto"/>
          <w:sz w:val="32"/>
          <w:szCs w:val="32"/>
          <w:lang w:val="en-US" w:eastAsia="zh-CN"/>
        </w:rPr>
      </w:pPr>
    </w:p>
    <w:p w14:paraId="69A581A2">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重庆市渝中区卫生健康委员会</w:t>
      </w:r>
    </w:p>
    <w:p w14:paraId="6F355F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2024年12月26日</w:t>
      </w:r>
    </w:p>
    <w:p w14:paraId="4EE388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（此件公开发布）</w:t>
      </w:r>
    </w:p>
    <w:p w14:paraId="688EDCD3">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14:paraId="35D0AC3B">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14:paraId="43F2524F">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14:paraId="6713B876">
      <w:pPr>
        <w:rPr>
          <w:rFonts w:hint="default"/>
        </w:rPr>
      </w:pPr>
    </w:p>
    <w:p w14:paraId="15F96BBB">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14:paraId="656B714F">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14:paraId="31780CC2">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default" w:ascii="Times New Roman" w:hAnsi="Times New Roman" w:eastAsia="方正黑体_GBK" w:cs="Times New Roman"/>
          <w:color w:val="000000"/>
          <w:sz w:val="32"/>
          <w:szCs w:val="32"/>
        </w:rPr>
      </w:pPr>
    </w:p>
    <w:p w14:paraId="2323F105">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废止</w:t>
      </w:r>
      <w:r>
        <w:rPr>
          <w:rFonts w:hint="eastAsia" w:ascii="Times New Roman" w:hAnsi="Times New Roman" w:eastAsia="方正小标宋_GBK" w:cs="Times New Roman"/>
          <w:color w:val="000000"/>
          <w:kern w:val="0"/>
          <w:sz w:val="44"/>
          <w:szCs w:val="44"/>
          <w:lang w:val="en-US" w:eastAsia="zh-CN"/>
        </w:rPr>
        <w:t>规范性</w:t>
      </w:r>
      <w:r>
        <w:rPr>
          <w:rFonts w:hint="default" w:ascii="Times New Roman" w:hAnsi="Times New Roman" w:eastAsia="方正小标宋_GBK" w:cs="Times New Roman"/>
          <w:color w:val="000000"/>
          <w:kern w:val="0"/>
          <w:sz w:val="44"/>
          <w:szCs w:val="44"/>
        </w:rPr>
        <w:t>文件目录</w:t>
      </w:r>
    </w:p>
    <w:tbl>
      <w:tblPr>
        <w:tblStyle w:val="7"/>
        <w:tblpPr w:leftFromText="180" w:rightFromText="180" w:vertAnchor="text" w:horzAnchor="margin" w:tblpXSpec="center" w:tblpY="636"/>
        <w:tblOverlap w:val="never"/>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004"/>
        <w:gridCol w:w="3417"/>
      </w:tblGrid>
      <w:tr w14:paraId="2433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9" w:type="dxa"/>
            <w:vAlign w:val="center"/>
          </w:tcPr>
          <w:p w14:paraId="6D2813F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序号</w:t>
            </w:r>
          </w:p>
        </w:tc>
        <w:tc>
          <w:tcPr>
            <w:tcW w:w="5004" w:type="dxa"/>
            <w:vAlign w:val="center"/>
          </w:tcPr>
          <w:p w14:paraId="0FA3D4F8">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文件名称</w:t>
            </w:r>
          </w:p>
        </w:tc>
        <w:tc>
          <w:tcPr>
            <w:tcW w:w="3417" w:type="dxa"/>
            <w:vAlign w:val="center"/>
          </w:tcPr>
          <w:p w14:paraId="256467B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文件号</w:t>
            </w:r>
          </w:p>
        </w:tc>
      </w:tr>
      <w:tr w14:paraId="559C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59" w:type="dxa"/>
            <w:vAlign w:val="center"/>
          </w:tcPr>
          <w:p w14:paraId="5292D2A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5004" w:type="dxa"/>
            <w:vAlign w:val="center"/>
          </w:tcPr>
          <w:p w14:paraId="347259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《重庆市渝中区卫生健康委员会关于推进健康服务业高质量发展的实施意见》</w:t>
            </w:r>
          </w:p>
        </w:tc>
        <w:tc>
          <w:tcPr>
            <w:tcW w:w="3417" w:type="dxa"/>
            <w:vAlign w:val="center"/>
          </w:tcPr>
          <w:p w14:paraId="06E3269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渝中卫发〔2019〕96号</w:t>
            </w:r>
          </w:p>
        </w:tc>
      </w:tr>
      <w:tr w14:paraId="2C9B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59" w:type="dxa"/>
            <w:vAlign w:val="center"/>
          </w:tcPr>
          <w:p w14:paraId="41270A9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5004" w:type="dxa"/>
            <w:vAlign w:val="center"/>
          </w:tcPr>
          <w:p w14:paraId="7298C0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重庆市渝中区卫生和计划生育委员会关于印发《渝中区健康医疗服务业发展贡献奖励办法》的通知</w:t>
            </w:r>
          </w:p>
        </w:tc>
        <w:tc>
          <w:tcPr>
            <w:tcW w:w="3417" w:type="dxa"/>
            <w:vAlign w:val="center"/>
          </w:tcPr>
          <w:p w14:paraId="622788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渝中卫计发〔2017〕225号</w:t>
            </w:r>
          </w:p>
        </w:tc>
      </w:tr>
    </w:tbl>
    <w:p w14:paraId="07589A63"/>
    <w:p w14:paraId="080979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p>
    <w:p w14:paraId="74C9BBCC">
      <w:pPr>
        <w:rPr>
          <w:rFonts w:hint="eastAsia" w:eastAsiaTheme="minorEastAsia"/>
          <w:lang w:val="en-US" w:eastAsia="zh-CN"/>
        </w:rPr>
      </w:pPr>
    </w:p>
    <w:sectPr>
      <w:headerReference r:id="rId3" w:type="default"/>
      <w:footerReference r:id="rId4" w:type="default"/>
      <w:pgSz w:w="11906" w:h="16838"/>
      <w:pgMar w:top="1984" w:right="1446" w:bottom="1644" w:left="1446"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1241">
    <w:pPr>
      <w:pStyle w:val="5"/>
      <w:wordWrap w:val="0"/>
      <w:ind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重庆市渝中区卫生健康委员会发布</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-170180</wp:posOffset>
              </wp:positionV>
              <wp:extent cx="572389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72389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3.4pt;height:0.15pt;width:450.7pt;z-index:251660288;mso-width-relative:page;mso-height-relative:page;" filled="f" stroked="t" coordsize="21600,21600" o:gfxdata="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X3XDU&#10;AAAACAEAAA8AAAAAAAAAAQAgAAAAIgAAAGRycy9kb3ducmV2LnhtbFBLAQIUABQAAAAIAIdO4kCf&#10;s73d6wEAALUDAAAOAAAAAAAAAAEAIAAAACMBAABkcnMvZTJvRG9jLnhtbFBLBQYAAAAABgAGAFkB&#10;AACABQAAAAA=&#10;">
              <v:fill on="f" focussize="0,0"/>
              <v:stroke weight="1.75pt" color="#005192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6FD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0028915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重庆市渝中区卫生健康委员会</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394335</wp:posOffset>
              </wp:positionV>
              <wp:extent cx="5709920" cy="635"/>
              <wp:effectExtent l="0" t="10795" r="5080" b="17145"/>
              <wp:wrapNone/>
              <wp:docPr id="4" name="直接连接符 4"/>
              <wp:cNvGraphicFramePr/>
              <a:graphic xmlns:a="http://schemas.openxmlformats.org/drawingml/2006/main">
                <a:graphicData uri="http://schemas.microsoft.com/office/word/2010/wordprocessingShape">
                  <wps:wsp>
                    <wps:cNvCnPr/>
                    <wps:spPr>
                      <a:xfrm flipV="1">
                        <a:off x="0" y="0"/>
                        <a:ext cx="570992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31.05pt;height:0.05pt;width:449.6pt;z-index:251659264;mso-width-relative:page;mso-height-relative:page;" filled="f" stroked="t" coordsize="21600,21600" o:gfxdata="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H/7mNYAAAAHAQAADwAAAAAAAAABACAAAAAiAAAAZHJzL2Rvd25yZXYueG1sUEsBAhQAFAAA&#10;AAgAh07iQHdJHyrxAQAAvgMAAA4AAAAAAAAAAQAgAAAAJQEAAGRycy9lMm9Eb2MueG1sUEsFBgAA&#10;AAAGAAYAWQEAAIg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2AB0"/>
    <w:rsid w:val="101E0A28"/>
    <w:rsid w:val="2CBB73DE"/>
    <w:rsid w:val="44C11CED"/>
    <w:rsid w:val="60B969B6"/>
    <w:rsid w:val="6F7C40EB"/>
    <w:rsid w:val="748756F0"/>
    <w:rsid w:val="7F4C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6"/>
    <w:pPr>
      <w:spacing w:after="120"/>
    </w:pPr>
    <w:rPr>
      <w:rFonts w:asciiTheme="minorHAnsi" w:hAnsiTheme="minorHAnsi" w:eastAsiaTheme="minorEastAsia" w:cstheme="minorBidi"/>
      <w:kern w:val="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Words>
  <Characters>365</Characters>
  <Lines>0</Lines>
  <Paragraphs>0</Paragraphs>
  <TotalTime>1</TotalTime>
  <ScaleCrop>false</ScaleCrop>
  <LinksUpToDate>false</LinksUpToDate>
  <CharactersWithSpaces>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2024-12-26T06:40:00Z</dcterms:created>
  <dc:creator>胥凯恒</dc:creator>
  <cp:lastModifiedBy>胥凯恒</cp:lastModifiedBy>
  <dcterms:modified xsi:type="dcterms:W3CDTF">2024-12-26T08:12:07Z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8546184C1A064CD2B9F5873EB6E31251_11</vt:lpwstr>
  </property>
</Properties>
</file>