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Style w:val="11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11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重庆市渝中区人民政府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Style w:val="11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11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关于印发《重庆市渝中区促进软件和信息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Style w:val="11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11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服务业高质量发展十条政策（试行）》的通知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渝中府发〔2024〕10号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区政府各部门、各管委会，各街道办事处，有关单位：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《重庆市渝中区促进软件和信息服务业高质量发展十条政策（试行）》已经区第十四届人民政府第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79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次常务会议审议通过，现印发给你们，请认真贯彻执行。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20" w:firstLineChars="200"/>
        <w:jc w:val="center"/>
        <w:textAlignment w:val="auto"/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20" w:firstLineChars="200"/>
        <w:jc w:val="center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000" w:firstLineChars="1250"/>
        <w:jc w:val="righ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 xml:space="preserve">重庆市渝中区人民政府 </w:t>
      </w: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760" w:firstLineChars="18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2024年3月31日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bidi w:val="0"/>
        <w:spacing w:line="600" w:lineRule="atLeast"/>
        <w:ind w:right="0" w:rightChars="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-SA"/>
        </w:rPr>
        <w:t>重庆市渝中区促进软件和信息服务业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-SA"/>
        </w:rPr>
        <w:t>高质量发展十条政策（试行）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36"/>
          <w:sz w:val="32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4"/>
        </w:rPr>
        <w:t>为全面贯彻落实市委、市政府发布的《重庆市软件和信息服务业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4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</w:rPr>
        <w:t>满天星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4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</w:rPr>
        <w:t>行动计划（2022—2025年）》，</w:t>
      </w:r>
      <w:r>
        <w:rPr>
          <w:rFonts w:hint="default" w:ascii="Times New Roman" w:hAnsi="Times New Roman" w:eastAsia="方正仿宋_GBK" w:cs="Times New Roman"/>
          <w:color w:val="auto"/>
          <w:kern w:val="36"/>
          <w:sz w:val="32"/>
          <w:szCs w:val="24"/>
        </w:rPr>
        <w:t>助推</w:t>
      </w:r>
      <w:r>
        <w:rPr>
          <w:rFonts w:hint="default" w:ascii="Times New Roman" w:hAnsi="Times New Roman" w:eastAsia="方正仿宋_GBK" w:cs="Times New Roman"/>
          <w:color w:val="auto"/>
          <w:kern w:val="36"/>
          <w:sz w:val="32"/>
          <w:szCs w:val="24"/>
          <w:lang w:val="en-US" w:eastAsia="zh-CN"/>
        </w:rPr>
        <w:t>渝中</w:t>
      </w:r>
      <w:r>
        <w:rPr>
          <w:rFonts w:hint="default" w:ascii="Times New Roman" w:hAnsi="Times New Roman" w:eastAsia="方正仿宋_GBK" w:cs="Times New Roman"/>
          <w:color w:val="auto"/>
          <w:kern w:val="36"/>
          <w:sz w:val="32"/>
          <w:szCs w:val="24"/>
        </w:rPr>
        <w:t>区软件和信息服务业高质量发展，特制定本政策。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36"/>
          <w:sz w:val="32"/>
          <w:szCs w:val="24"/>
          <w:lang w:val="en-US" w:eastAsia="zh-CN"/>
        </w:rPr>
      </w:pPr>
      <w:r>
        <w:rPr>
          <w:rFonts w:hint="default" w:ascii="Times New Roman" w:hAnsi="Times New Roman" w:eastAsia="方正黑体_GBK" w:cs="Times New Roman"/>
          <w:bCs/>
          <w:color w:val="auto"/>
          <w:kern w:val="36"/>
          <w:sz w:val="32"/>
          <w:szCs w:val="24"/>
        </w:rPr>
        <w:t>第一条</w:t>
      </w:r>
      <w:r>
        <w:rPr>
          <w:rFonts w:hint="default" w:ascii="Times New Roman" w:hAnsi="Times New Roman" w:eastAsia="方正黑体_GBK" w:cs="Times New Roman"/>
          <w:bCs/>
          <w:color w:val="auto"/>
          <w:kern w:val="36"/>
          <w:sz w:val="32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方正黑体_GBK" w:cs="Times New Roman"/>
          <w:bCs/>
          <w:color w:val="auto"/>
          <w:kern w:val="36"/>
          <w:sz w:val="32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36"/>
          <w:sz w:val="32"/>
          <w:szCs w:val="24"/>
        </w:rPr>
        <w:t>支持</w:t>
      </w:r>
      <w:r>
        <w:rPr>
          <w:rFonts w:hint="default" w:ascii="Times New Roman" w:hAnsi="Times New Roman" w:eastAsia="方正仿宋_GBK" w:cs="Times New Roman"/>
          <w:color w:val="auto"/>
          <w:kern w:val="36"/>
          <w:sz w:val="32"/>
          <w:szCs w:val="24"/>
          <w:lang w:val="en-US" w:eastAsia="zh-CN"/>
        </w:rPr>
        <w:t>优质</w:t>
      </w:r>
      <w:r>
        <w:rPr>
          <w:rFonts w:hint="default" w:ascii="Times New Roman" w:hAnsi="Times New Roman" w:eastAsia="方正仿宋_GBK" w:cs="Times New Roman"/>
          <w:color w:val="auto"/>
          <w:kern w:val="36"/>
          <w:sz w:val="32"/>
          <w:szCs w:val="24"/>
        </w:rPr>
        <w:t>企业</w:t>
      </w:r>
      <w:r>
        <w:rPr>
          <w:rFonts w:hint="default" w:ascii="Times New Roman" w:hAnsi="Times New Roman" w:eastAsia="方正仿宋_GBK" w:cs="Times New Roman"/>
          <w:color w:val="auto"/>
          <w:kern w:val="36"/>
          <w:sz w:val="32"/>
          <w:szCs w:val="24"/>
          <w:highlight w:val="none"/>
          <w:lang w:val="en-US" w:eastAsia="zh-CN"/>
        </w:rPr>
        <w:t>发展</w:t>
      </w:r>
      <w:r>
        <w:rPr>
          <w:rFonts w:hint="default" w:ascii="Times New Roman" w:hAnsi="Times New Roman" w:eastAsia="方正仿宋_GBK" w:cs="Times New Roman"/>
          <w:color w:val="auto"/>
          <w:kern w:val="36"/>
          <w:sz w:val="32"/>
          <w:szCs w:val="24"/>
        </w:rPr>
        <w:t>。</w:t>
      </w:r>
      <w:r>
        <w:rPr>
          <w:rFonts w:hint="default" w:ascii="Times New Roman" w:hAnsi="Times New Roman" w:eastAsia="方正仿宋_GBK" w:cs="Times New Roman"/>
          <w:color w:val="auto"/>
          <w:kern w:val="36"/>
          <w:sz w:val="32"/>
          <w:szCs w:val="24"/>
          <w:lang w:val="en-US" w:eastAsia="zh-CN"/>
        </w:rPr>
        <w:t>支持软件和信息服务业优质企业</w:t>
      </w:r>
      <w:r>
        <w:rPr>
          <w:rFonts w:hint="default" w:ascii="Times New Roman" w:hAnsi="Times New Roman" w:eastAsia="方正仿宋_GBK" w:cs="Times New Roman"/>
          <w:color w:val="auto"/>
          <w:kern w:val="36"/>
          <w:sz w:val="32"/>
          <w:szCs w:val="24"/>
          <w:highlight w:val="none"/>
          <w:lang w:val="en-US" w:eastAsia="zh-CN"/>
        </w:rPr>
        <w:t>在渝中生产经营，带动经济发展。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lang w:val="en-US" w:eastAsia="zh-CN"/>
        </w:rPr>
        <w:t>一）对国家级重点软件企业、国家级专精特新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4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lang w:val="en-US" w:eastAsia="zh-CN"/>
        </w:rPr>
        <w:t>小巨人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4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lang w:val="en-US" w:eastAsia="zh-CN"/>
        </w:rPr>
        <w:t>企业以及具有同等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  <w:lang w:val="en-US" w:eastAsia="zh-CN"/>
        </w:rPr>
        <w:t>资质的优秀企业，以其总部作为投资主体首次在渝中区经营且当年办公人员超过300人的（人数统计以缴纳养老保险为准，下同），经认定后分别给予不超过200万元、100万元的奖励，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</w:rPr>
        <w:t>按40%、30%、30%比例分3年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  <w:lang w:val="en-US" w:eastAsia="zh-CN"/>
        </w:rPr>
        <w:t>兑现；以其区域总部作为投资主体首次在渝中区经营且当年办公人员超过100人的，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lang w:val="en-US" w:eastAsia="zh-CN"/>
        </w:rPr>
        <w:t>经认定后分别给予不超过100万元、30万元的奖励，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</w:rPr>
        <w:t>按40%、30%、30%比例分3年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lang w:val="en-US" w:eastAsia="zh-CN"/>
        </w:rPr>
        <w:t>兑现。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lang w:val="en-US" w:eastAsia="zh-CN"/>
        </w:rPr>
        <w:t>（二）对省（市）级重点软件企业、专精特新企业以及具有同等资质的优秀企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  <w:lang w:val="en-US" w:eastAsia="zh-CN"/>
        </w:rPr>
        <w:t>业，以其总部作为投资主体首次在渝中区经营且当年办公人员超过100人的，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lang w:val="en-US" w:eastAsia="zh-CN"/>
        </w:rPr>
        <w:t>经认定后分别给予不超过100万元、30万元的奖励，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</w:rPr>
        <w:t>按40%、30%、30%比例分3年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lang w:val="en-US" w:eastAsia="zh-CN"/>
        </w:rPr>
        <w:t>兑现。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kern w:val="36"/>
          <w:sz w:val="32"/>
          <w:szCs w:val="24"/>
          <w:lang w:val="en-US" w:eastAsia="zh-CN"/>
        </w:rPr>
      </w:pPr>
      <w:r>
        <w:rPr>
          <w:rFonts w:hint="default" w:ascii="Times New Roman" w:hAnsi="Times New Roman" w:eastAsia="方正黑体_GBK" w:cs="Times New Roman"/>
          <w:bCs/>
          <w:color w:val="auto"/>
          <w:kern w:val="36"/>
          <w:sz w:val="32"/>
          <w:szCs w:val="24"/>
        </w:rPr>
        <w:t>第</w:t>
      </w:r>
      <w:r>
        <w:rPr>
          <w:rFonts w:hint="default" w:ascii="Times New Roman" w:hAnsi="Times New Roman" w:eastAsia="方正黑体_GBK" w:cs="Times New Roman"/>
          <w:bCs/>
          <w:color w:val="auto"/>
          <w:kern w:val="36"/>
          <w:sz w:val="32"/>
          <w:szCs w:val="24"/>
          <w:lang w:val="en-US" w:eastAsia="zh-CN"/>
        </w:rPr>
        <w:t>二</w:t>
      </w:r>
      <w:r>
        <w:rPr>
          <w:rFonts w:hint="default" w:ascii="Times New Roman" w:hAnsi="Times New Roman" w:eastAsia="方正黑体_GBK" w:cs="Times New Roman"/>
          <w:bCs/>
          <w:color w:val="auto"/>
          <w:kern w:val="36"/>
          <w:sz w:val="32"/>
          <w:szCs w:val="24"/>
        </w:rPr>
        <w:t>条</w:t>
      </w:r>
      <w:r>
        <w:rPr>
          <w:rFonts w:hint="eastAsia" w:ascii="Times New Roman" w:hAnsi="Times New Roman" w:eastAsia="方正黑体_GBK" w:cs="Times New Roman"/>
          <w:bCs/>
          <w:color w:val="auto"/>
          <w:kern w:val="36"/>
          <w:sz w:val="32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方正黑体_GBK" w:cs="Times New Roman"/>
          <w:bCs/>
          <w:color w:val="auto"/>
          <w:kern w:val="36"/>
          <w:sz w:val="32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36"/>
          <w:sz w:val="32"/>
          <w:szCs w:val="24"/>
          <w:lang w:val="en-US" w:eastAsia="zh-CN"/>
        </w:rPr>
        <w:t>鼓励企业做大做强。支持存量企业持续壮大业务、扩大利润。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lang w:val="en-US" w:eastAsia="zh-CN"/>
        </w:rPr>
        <w:t>（一）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  <w:lang w:val="en-US" w:eastAsia="zh-CN"/>
        </w:rPr>
        <w:t>对当年新纳入规模以上统计的软件和信息服务业、科研服务业企业，达到规模以上标准的，经认定后可给予一次性3万元奖励。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kern w:val="36"/>
          <w:sz w:val="32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lang w:val="en-US" w:eastAsia="zh-CN"/>
        </w:rPr>
        <w:t>（二）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  <w:lang w:val="en-US" w:eastAsia="zh-CN"/>
        </w:rPr>
        <w:t>聚焦软件和信息服务业重点发展赛道，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对行业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  <w:lang w:val="en-US" w:eastAsia="zh-CN"/>
        </w:rPr>
        <w:t>龙头企业、领军企业、重点企业，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36"/>
          <w:sz w:val="32"/>
          <w:szCs w:val="24"/>
          <w:highlight w:val="none"/>
          <w:lang w:val="en-US" w:eastAsia="zh-CN"/>
        </w:rPr>
        <w:t>据其发展情况，经认定后给予一定扶持奖励。发挥渝中区数字经济产业产科金综合服务平台作用，对在区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  <w:lang w:val="en-US" w:eastAsia="zh-CN"/>
        </w:rPr>
        <w:t>软件和信息服务业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36"/>
          <w:sz w:val="32"/>
          <w:szCs w:val="24"/>
          <w:highlight w:val="none"/>
          <w:lang w:val="en-US" w:eastAsia="zh-CN"/>
        </w:rPr>
        <w:t>企业，在项目融资、市场拓展、专业服务、上市辅导等方面给予支持。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bCs/>
          <w:color w:val="auto"/>
          <w:kern w:val="36"/>
          <w:sz w:val="32"/>
          <w:szCs w:val="24"/>
        </w:rPr>
        <w:t>第</w:t>
      </w:r>
      <w:r>
        <w:rPr>
          <w:rFonts w:hint="default" w:ascii="Times New Roman" w:hAnsi="Times New Roman" w:eastAsia="方正黑体_GBK" w:cs="Times New Roman"/>
          <w:bCs/>
          <w:color w:val="auto"/>
          <w:kern w:val="36"/>
          <w:sz w:val="32"/>
          <w:szCs w:val="24"/>
          <w:lang w:val="en-US" w:eastAsia="zh-CN"/>
        </w:rPr>
        <w:t>三</w:t>
      </w:r>
      <w:r>
        <w:rPr>
          <w:rFonts w:hint="default" w:ascii="Times New Roman" w:hAnsi="Times New Roman" w:eastAsia="方正黑体_GBK" w:cs="Times New Roman"/>
          <w:bCs/>
          <w:color w:val="auto"/>
          <w:kern w:val="36"/>
          <w:sz w:val="32"/>
          <w:szCs w:val="24"/>
        </w:rPr>
        <w:t>条</w:t>
      </w:r>
      <w:r>
        <w:rPr>
          <w:rFonts w:hint="default" w:ascii="Times New Roman" w:hAnsi="Times New Roman" w:eastAsia="方正黑体_GBK" w:cs="Times New Roman"/>
          <w:bCs/>
          <w:color w:val="auto"/>
          <w:kern w:val="36"/>
          <w:sz w:val="32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方正黑体_GBK" w:cs="Times New Roman"/>
          <w:bCs/>
          <w:color w:val="auto"/>
          <w:kern w:val="36"/>
          <w:sz w:val="32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帮助企业降低租金。新入驻经认定的楼宇产业园的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  <w:lang w:val="en-US" w:eastAsia="zh-CN"/>
        </w:rPr>
        <w:t>软件和信息服务业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企业，审核通过后按照相关规定享受优惠租金。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bCs/>
          <w:color w:val="auto"/>
          <w:kern w:val="36"/>
          <w:sz w:val="32"/>
          <w:szCs w:val="24"/>
          <w:highlight w:val="none"/>
        </w:rPr>
        <w:t>第</w:t>
      </w:r>
      <w:r>
        <w:rPr>
          <w:rFonts w:hint="default" w:ascii="Times New Roman" w:hAnsi="Times New Roman" w:eastAsia="方正黑体_GBK" w:cs="Times New Roman"/>
          <w:bCs/>
          <w:color w:val="auto"/>
          <w:kern w:val="36"/>
          <w:sz w:val="32"/>
          <w:szCs w:val="24"/>
          <w:highlight w:val="none"/>
          <w:lang w:val="en-US" w:eastAsia="zh-CN"/>
        </w:rPr>
        <w:t>四</w:t>
      </w:r>
      <w:r>
        <w:rPr>
          <w:rFonts w:hint="default" w:ascii="Times New Roman" w:hAnsi="Times New Roman" w:eastAsia="方正黑体_GBK" w:cs="Times New Roman"/>
          <w:bCs/>
          <w:color w:val="auto"/>
          <w:kern w:val="36"/>
          <w:sz w:val="32"/>
          <w:szCs w:val="24"/>
          <w:highlight w:val="none"/>
        </w:rPr>
        <w:t>条</w:t>
      </w:r>
      <w:r>
        <w:rPr>
          <w:rFonts w:hint="default" w:ascii="Times New Roman" w:hAnsi="Times New Roman" w:eastAsia="方正黑体_GBK" w:cs="Times New Roman"/>
          <w:bCs/>
          <w:color w:val="auto"/>
          <w:kern w:val="36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方正黑体_GBK" w:cs="Times New Roman"/>
          <w:bCs/>
          <w:color w:val="auto"/>
          <w:kern w:val="36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  <w:lang w:val="en-US" w:eastAsia="zh-CN"/>
        </w:rPr>
        <w:t>支持人才创新创业。支持青年人才来渝中区从事软件相关产业工作，符合条件的人才可享受包括购房、租房、工作等补贴，以及科研、就医、入学等支持政策，具体参照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4"/>
          <w:highlight w:val="none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  <w:lang w:val="en-US" w:eastAsia="zh-CN"/>
        </w:rPr>
        <w:t>黄金十二条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4"/>
          <w:highlight w:val="none"/>
          <w:lang w:val="en-US" w:eastAsia="zh-CN"/>
        </w:rPr>
        <w:t>”“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  <w:lang w:val="en-US" w:eastAsia="zh-CN"/>
        </w:rPr>
        <w:t>青创十条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4"/>
          <w:highlight w:val="none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  <w:lang w:val="en-US" w:eastAsia="zh-CN"/>
        </w:rPr>
        <w:t>等相关人才政策执行。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bCs/>
          <w:color w:val="auto"/>
          <w:kern w:val="36"/>
          <w:sz w:val="32"/>
          <w:szCs w:val="24"/>
          <w:highlight w:val="none"/>
        </w:rPr>
        <w:t>第</w:t>
      </w:r>
      <w:r>
        <w:rPr>
          <w:rFonts w:hint="default" w:ascii="Times New Roman" w:hAnsi="Times New Roman" w:eastAsia="方正黑体_GBK" w:cs="Times New Roman"/>
          <w:bCs/>
          <w:color w:val="auto"/>
          <w:kern w:val="36"/>
          <w:sz w:val="32"/>
          <w:szCs w:val="24"/>
          <w:highlight w:val="none"/>
          <w:lang w:val="en-US" w:eastAsia="zh-CN"/>
        </w:rPr>
        <w:t>五</w:t>
      </w:r>
      <w:r>
        <w:rPr>
          <w:rFonts w:hint="default" w:ascii="Times New Roman" w:hAnsi="Times New Roman" w:eastAsia="方正黑体_GBK" w:cs="Times New Roman"/>
          <w:bCs/>
          <w:color w:val="auto"/>
          <w:kern w:val="36"/>
          <w:sz w:val="32"/>
          <w:szCs w:val="24"/>
          <w:highlight w:val="none"/>
        </w:rPr>
        <w:t>条</w:t>
      </w:r>
      <w:r>
        <w:rPr>
          <w:rFonts w:hint="default" w:ascii="Times New Roman" w:hAnsi="Times New Roman" w:eastAsia="方正黑体_GBK" w:cs="Times New Roman"/>
          <w:bCs/>
          <w:color w:val="auto"/>
          <w:kern w:val="36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方正黑体_GBK" w:cs="Times New Roman"/>
          <w:bCs/>
          <w:color w:val="auto"/>
          <w:kern w:val="36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  <w:lang w:val="en-US" w:eastAsia="zh-CN"/>
        </w:rPr>
        <w:t>拓展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</w:rPr>
        <w:t>应用场景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  <w:lang w:val="en-US" w:eastAsia="zh-CN"/>
        </w:rPr>
        <w:t>建设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</w:rPr>
        <w:t>。开展应用场景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4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</w:rPr>
        <w:t>揭榜挂帅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4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</w:rPr>
        <w:t>活动，对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  <w:lang w:eastAsia="zh-CN"/>
        </w:rPr>
        <w:t>区内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</w:rPr>
        <w:t>成功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4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</w:rPr>
        <w:t>揭榜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4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</w:rPr>
        <w:t>后实际参与场景建设的企业，给予项目建设合同金额10%，不超过50万元的奖励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24"/>
          <w:lang w:val="en-US" w:eastAsia="zh-CN"/>
        </w:rPr>
      </w:pPr>
      <w:r>
        <w:rPr>
          <w:rFonts w:hint="default" w:ascii="Times New Roman" w:hAnsi="Times New Roman" w:eastAsia="方正黑体_GBK" w:cs="Times New Roman"/>
          <w:bCs/>
          <w:color w:val="auto"/>
          <w:kern w:val="36"/>
          <w:sz w:val="32"/>
          <w:szCs w:val="24"/>
        </w:rPr>
        <w:t>第</w:t>
      </w:r>
      <w:r>
        <w:rPr>
          <w:rFonts w:hint="default" w:ascii="Times New Roman" w:hAnsi="Times New Roman" w:eastAsia="方正黑体_GBK" w:cs="Times New Roman"/>
          <w:bCs/>
          <w:color w:val="auto"/>
          <w:kern w:val="36"/>
          <w:sz w:val="32"/>
          <w:szCs w:val="24"/>
          <w:lang w:val="en-US" w:eastAsia="zh-CN"/>
        </w:rPr>
        <w:t>六</w:t>
      </w:r>
      <w:r>
        <w:rPr>
          <w:rFonts w:hint="default" w:ascii="Times New Roman" w:hAnsi="Times New Roman" w:eastAsia="方正黑体_GBK" w:cs="Times New Roman"/>
          <w:bCs/>
          <w:color w:val="auto"/>
          <w:kern w:val="36"/>
          <w:sz w:val="32"/>
          <w:szCs w:val="24"/>
        </w:rPr>
        <w:t>条</w:t>
      </w:r>
      <w:r>
        <w:rPr>
          <w:rFonts w:hint="eastAsia" w:ascii="Times New Roman" w:hAnsi="Times New Roman" w:eastAsia="方正黑体_GBK" w:cs="Times New Roman"/>
          <w:bCs/>
          <w:color w:val="auto"/>
          <w:kern w:val="36"/>
          <w:sz w:val="32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lang w:val="en-US" w:eastAsia="zh-CN"/>
        </w:rPr>
        <w:t>鼓励楼宇改造更新。建成并正常使用5年以上、建筑面积10000平方米（含）以上的商业商务楼宇，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  <w:lang w:val="en-US" w:eastAsia="zh-CN"/>
        </w:rPr>
        <w:t>为推动软件和信息服务业产业发展，实施公共部位和共用设施设备（包括电梯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lang w:val="en-US" w:eastAsia="zh-CN"/>
        </w:rPr>
        <w:t>、空调、车库、智慧化等）改造更新，总投资500万元（含）以上的，经认定可按工程投资（不含房屋购置价款、工程建设二类费用等，下同）的20%给予扶持，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4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lang w:val="en-US" w:eastAsia="zh-CN"/>
        </w:rPr>
        <w:t>亿元楼宇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4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lang w:val="en-US" w:eastAsia="zh-CN"/>
        </w:rPr>
        <w:t>可扶持30%，单栋楼宇扶持总额不超过1000万元。更新改造老旧厂房、闲置低效楼宇，转型发展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  <w:lang w:val="en-US" w:eastAsia="zh-CN"/>
        </w:rPr>
        <w:t>软件和信息服务业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lang w:val="en-US" w:eastAsia="zh-CN"/>
        </w:rPr>
        <w:t>特色产业园、新型楼宇工业等，总投资200万元（含）以上，且统一经营管理的，经认定可按工程投资的20%给予扶持，扶持总额不超过500万元。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Cs/>
          <w:color w:val="auto"/>
          <w:kern w:val="36"/>
          <w:sz w:val="32"/>
          <w:szCs w:val="24"/>
        </w:rPr>
        <w:t>第</w:t>
      </w:r>
      <w:r>
        <w:rPr>
          <w:rFonts w:hint="default" w:ascii="Times New Roman" w:hAnsi="Times New Roman" w:eastAsia="方正黑体_GBK" w:cs="Times New Roman"/>
          <w:bCs/>
          <w:color w:val="auto"/>
          <w:kern w:val="36"/>
          <w:sz w:val="32"/>
          <w:szCs w:val="24"/>
          <w:lang w:val="en-US" w:eastAsia="zh-CN"/>
        </w:rPr>
        <w:t>七</w:t>
      </w:r>
      <w:r>
        <w:rPr>
          <w:rFonts w:hint="default" w:ascii="Times New Roman" w:hAnsi="Times New Roman" w:eastAsia="方正黑体_GBK" w:cs="Times New Roman"/>
          <w:bCs/>
          <w:color w:val="auto"/>
          <w:kern w:val="36"/>
          <w:sz w:val="32"/>
          <w:szCs w:val="24"/>
        </w:rPr>
        <w:t>条</w:t>
      </w:r>
      <w:r>
        <w:rPr>
          <w:rFonts w:hint="eastAsia" w:ascii="Times New Roman" w:hAnsi="Times New Roman" w:eastAsia="方正黑体_GBK" w:cs="Times New Roman"/>
          <w:bCs/>
          <w:color w:val="auto"/>
          <w:kern w:val="36"/>
          <w:sz w:val="32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方正黑体_GBK" w:cs="Times New Roman"/>
          <w:bCs/>
          <w:color w:val="auto"/>
          <w:kern w:val="36"/>
          <w:sz w:val="32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鼓励企业自主研发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鼓励辖区企业加大研发投入，提升创新能力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对建立研发准备金制度且申报研发费用1000万元以下的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企业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按研发费用存量不高于3%、增量不高于10%的比例给予补助。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bCs/>
          <w:color w:val="auto"/>
          <w:kern w:val="36"/>
          <w:sz w:val="32"/>
          <w:szCs w:val="24"/>
        </w:rPr>
        <w:t>第</w:t>
      </w:r>
      <w:r>
        <w:rPr>
          <w:rFonts w:hint="default" w:ascii="Times New Roman" w:hAnsi="Times New Roman" w:eastAsia="方正黑体_GBK" w:cs="Times New Roman"/>
          <w:bCs/>
          <w:color w:val="auto"/>
          <w:kern w:val="36"/>
          <w:sz w:val="32"/>
          <w:szCs w:val="24"/>
          <w:lang w:val="en-US" w:eastAsia="zh-CN"/>
        </w:rPr>
        <w:t>八</w:t>
      </w:r>
      <w:r>
        <w:rPr>
          <w:rFonts w:hint="default" w:ascii="Times New Roman" w:hAnsi="Times New Roman" w:eastAsia="方正黑体_GBK" w:cs="Times New Roman"/>
          <w:bCs/>
          <w:color w:val="auto"/>
          <w:kern w:val="36"/>
          <w:sz w:val="32"/>
          <w:szCs w:val="24"/>
        </w:rPr>
        <w:t xml:space="preserve">条 </w:t>
      </w:r>
      <w:r>
        <w:rPr>
          <w:rFonts w:hint="eastAsia" w:ascii="Times New Roman" w:hAnsi="Times New Roman" w:eastAsia="方正黑体_GBK" w:cs="Times New Roman"/>
          <w:bCs/>
          <w:color w:val="auto"/>
          <w:kern w:val="36"/>
          <w:sz w:val="32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提升公共服务能力。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对市级及以上工业软件、信息技术服务等领域公共服务平台等平台机构，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根据运行（服务）绩效，给予不超过100万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元/年的奖励。鼓励引入国家、市级行业协会，根据运行绩效给予不超过20万/年的奖励。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Cs/>
          <w:color w:val="auto"/>
          <w:kern w:val="36"/>
          <w:sz w:val="32"/>
          <w:szCs w:val="24"/>
        </w:rPr>
        <w:t>第</w:t>
      </w:r>
      <w:r>
        <w:rPr>
          <w:rFonts w:hint="default" w:ascii="Times New Roman" w:hAnsi="Times New Roman" w:eastAsia="方正黑体_GBK" w:cs="Times New Roman"/>
          <w:bCs/>
          <w:color w:val="auto"/>
          <w:kern w:val="36"/>
          <w:sz w:val="32"/>
          <w:szCs w:val="24"/>
          <w:lang w:val="en-US" w:eastAsia="zh-CN"/>
        </w:rPr>
        <w:t>九</w:t>
      </w:r>
      <w:r>
        <w:rPr>
          <w:rFonts w:hint="default" w:ascii="Times New Roman" w:hAnsi="Times New Roman" w:eastAsia="方正黑体_GBK" w:cs="Times New Roman"/>
          <w:bCs/>
          <w:color w:val="auto"/>
          <w:kern w:val="36"/>
          <w:sz w:val="32"/>
          <w:szCs w:val="24"/>
        </w:rPr>
        <w:t>条</w:t>
      </w:r>
      <w:r>
        <w:rPr>
          <w:rFonts w:hint="eastAsia" w:ascii="Times New Roman" w:hAnsi="Times New Roman" w:eastAsia="方正黑体_GBK" w:cs="Times New Roman"/>
          <w:bCs/>
          <w:color w:val="auto"/>
          <w:kern w:val="36"/>
          <w:sz w:val="32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方正黑体_GBK" w:cs="Times New Roman"/>
          <w:bCs/>
          <w:color w:val="auto"/>
          <w:kern w:val="36"/>
          <w:sz w:val="32"/>
          <w:szCs w:val="24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color w:val="auto"/>
          <w:kern w:val="36"/>
          <w:sz w:val="32"/>
          <w:szCs w:val="24"/>
          <w:lang w:val="en-US" w:eastAsia="zh-CN"/>
        </w:rPr>
        <w:t>加强氛围营造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企业在渝中区举办市级及以上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  <w:lang w:val="en-US" w:eastAsia="zh-CN"/>
        </w:rPr>
        <w:t>软件和信息服务业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领域重大活动，且规模在200人以上的，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经认定后给予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最高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20%的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活动补贴，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不超过50万元（国家级活动补贴不超过50万元</w:t>
      </w:r>
      <w:r>
        <w:rPr>
          <w:rFonts w:hint="default" w:ascii="Times New Roman" w:hAnsi="Times New Roman" w:eastAsia="方正仿宋_GBK" w:cs="Times New Roman"/>
          <w:bCs/>
          <w:color w:val="auto"/>
          <w:kern w:val="36"/>
          <w:sz w:val="32"/>
          <w:szCs w:val="24"/>
          <w:lang w:val="en-US" w:eastAsia="zh-CN"/>
        </w:rPr>
        <w:t>，市级活动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补贴</w:t>
      </w:r>
      <w:r>
        <w:rPr>
          <w:rFonts w:hint="default" w:ascii="Times New Roman" w:hAnsi="Times New Roman" w:eastAsia="方正仿宋_GBK" w:cs="Times New Roman"/>
          <w:bCs/>
          <w:color w:val="auto"/>
          <w:kern w:val="36"/>
          <w:sz w:val="32"/>
          <w:szCs w:val="24"/>
          <w:lang w:val="en-US" w:eastAsia="zh-CN"/>
        </w:rPr>
        <w:t>不超过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20万元）。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bCs/>
          <w:color w:val="auto"/>
          <w:kern w:val="36"/>
          <w:sz w:val="32"/>
          <w:szCs w:val="24"/>
        </w:rPr>
        <w:t>第</w:t>
      </w:r>
      <w:r>
        <w:rPr>
          <w:rFonts w:hint="default" w:ascii="Times New Roman" w:hAnsi="Times New Roman" w:eastAsia="方正黑体_GBK" w:cs="Times New Roman"/>
          <w:bCs/>
          <w:color w:val="auto"/>
          <w:kern w:val="36"/>
          <w:sz w:val="32"/>
          <w:szCs w:val="24"/>
          <w:lang w:val="en-US" w:eastAsia="zh-CN"/>
        </w:rPr>
        <w:t>十</w:t>
      </w:r>
      <w:r>
        <w:rPr>
          <w:rFonts w:hint="default" w:ascii="Times New Roman" w:hAnsi="Times New Roman" w:eastAsia="方正黑体_GBK" w:cs="Times New Roman"/>
          <w:bCs/>
          <w:color w:val="auto"/>
          <w:kern w:val="36"/>
          <w:sz w:val="32"/>
          <w:szCs w:val="24"/>
        </w:rPr>
        <w:t>条</w:t>
      </w:r>
      <w:r>
        <w:rPr>
          <w:rFonts w:hint="eastAsia" w:ascii="Times New Roman" w:hAnsi="Times New Roman" w:eastAsia="方正黑体_GBK" w:cs="Times New Roman"/>
          <w:bCs/>
          <w:color w:val="auto"/>
          <w:kern w:val="36"/>
          <w:sz w:val="32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方正黑体_GBK" w:cs="Times New Roman"/>
          <w:bCs/>
          <w:color w:val="auto"/>
          <w:kern w:val="36"/>
          <w:sz w:val="32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color w:val="auto"/>
          <w:kern w:val="36"/>
          <w:sz w:val="32"/>
          <w:szCs w:val="24"/>
          <w:lang w:val="en-US" w:eastAsia="zh-CN"/>
        </w:rPr>
        <w:t>其他重点事项。对聚焦发展新质生产力和布局人工智能、元宇宙、空天信息等新赛道方向的企业入驻和发展；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对新入选市级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满天星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示范楼宇清单、获评市级及以上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  <w:lang w:val="en-US" w:eastAsia="zh-CN"/>
        </w:rPr>
        <w:t>软件和信息服务业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产业园区挂牌的园区；对发展态势良好的软件和信息服务企业；对获得市级及以上认定和荣誉的软件和信息服务企业；对首次获批且在渝中生产经营的国家级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  <w:lang w:val="en-US" w:eastAsia="zh-CN"/>
        </w:rPr>
        <w:t>软件和信息服务业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人才实习实训基地等重点事项，报区委区政府同意后，给予一定支持。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符合本办法规定的同一项目、同一事项同时符合渝中区其他扶持政策规定的，按照就高不重复原则予以支持，文件另有规定的除外。获得补助的涉税支出由企业或个人自行承担。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Times New Roman" w:hAnsi="Times New Roman" w:eastAsia="方正仿宋_GBK" w:cstheme="minorBidi"/>
          <w:kern w:val="0"/>
          <w:sz w:val="32"/>
          <w:szCs w:val="32"/>
          <w:shd w:val="clear" w:color="auto" w:fill="FFFFFF"/>
          <w:lang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本办法自公布之日起实施，原《重庆市渝中区软件和信息服务业发展扶持办法（试行）》（渝中府发〔2022〕40号）同时废止。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  <w:ind w:left="4788" w:leftChars="2280" w:firstLine="6400" w:firstLineChars="20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140335</wp:posOffset>
              </wp:positionV>
              <wp:extent cx="8288020" cy="0"/>
              <wp:effectExtent l="0" t="0" r="0" b="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8802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.5pt;margin-top:11.05pt;height:0pt;width:652.6pt;z-index:251660288;mso-width-relative:page;mso-height-relative:page;" filled="f" stroked="t" coordsize="21600,21600" o:gfxdata="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3Jgx31AAAAAkB&#10;AAAPAAAAAAAAAAEAIAAAACIAAABkcnMvZG93bnJldi54bWxQSwECFAAUAAAACACHTuJA9RTDf+YB&#10;AAC0AwAADgAAAAAAAAABACAAAAAjAQAAZHJzL2Uyb0RvYy54bWxQSwUGAAAAAAYABgBZAQAAewUA&#10;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wordWrap w:val="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重庆市渝中区人民政府发布</w:t>
    </w: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CN"/>
      </w:rPr>
      <w:t xml:space="preserve">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-2540</wp:posOffset>
              </wp:positionH>
              <wp:positionV relativeFrom="paragraph">
                <wp:posOffset>462280</wp:posOffset>
              </wp:positionV>
              <wp:extent cx="8269605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826960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2pt;margin-top:36.4pt;height:0pt;width:651.15pt;z-index:251659264;mso-width-relative:page;mso-height-relative:page;" filled="f" stroked="t" coordsize="21600,21600" o:gfxdata="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L5YoHVAAAACAEAAA8AAAAAAAAAAQAgAAAAIgAAAGRycy9kb3ducmV2LnhtbFBLAQIUABQA&#10;AAAIAIdO4kDjsBHs8wEAAL0DAAAOAAAAAAAAAAEAIAAAACQBAABkcnMvZTJvRG9jLnhtbFBLBQYA&#10;AAAABgAGAFkBAACJ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21590" b="2159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重庆市渝中区人民政府行政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3NzIyZTdkZTU1NjZlNzAxNTc1YThjYzQwOGQ4MGUifQ=="/>
  </w:docVars>
  <w:rsids>
    <w:rsidRoot w:val="00172A27"/>
    <w:rsid w:val="019E71BD"/>
    <w:rsid w:val="01E93D58"/>
    <w:rsid w:val="04B679C3"/>
    <w:rsid w:val="05F07036"/>
    <w:rsid w:val="06E00104"/>
    <w:rsid w:val="080F63D8"/>
    <w:rsid w:val="09341458"/>
    <w:rsid w:val="0966290A"/>
    <w:rsid w:val="098254C2"/>
    <w:rsid w:val="0A766EDE"/>
    <w:rsid w:val="0AD64BE8"/>
    <w:rsid w:val="0B0912D7"/>
    <w:rsid w:val="0E025194"/>
    <w:rsid w:val="0EEF0855"/>
    <w:rsid w:val="11DB7C71"/>
    <w:rsid w:val="152D2DCA"/>
    <w:rsid w:val="183138A9"/>
    <w:rsid w:val="187168EA"/>
    <w:rsid w:val="196673CA"/>
    <w:rsid w:val="1CAD7ED8"/>
    <w:rsid w:val="1CF734C9"/>
    <w:rsid w:val="1DEC284C"/>
    <w:rsid w:val="1E292297"/>
    <w:rsid w:val="1E6523AC"/>
    <w:rsid w:val="22440422"/>
    <w:rsid w:val="22BB4BBB"/>
    <w:rsid w:val="25EB1AF4"/>
    <w:rsid w:val="271C2B76"/>
    <w:rsid w:val="2DD05FE1"/>
    <w:rsid w:val="2EAE3447"/>
    <w:rsid w:val="2F034443"/>
    <w:rsid w:val="31A15F24"/>
    <w:rsid w:val="36FB1DF0"/>
    <w:rsid w:val="37F261A2"/>
    <w:rsid w:val="395347B5"/>
    <w:rsid w:val="39A232A0"/>
    <w:rsid w:val="39E745AA"/>
    <w:rsid w:val="3B5A6BBB"/>
    <w:rsid w:val="3CA154E3"/>
    <w:rsid w:val="3EDA13A6"/>
    <w:rsid w:val="3FF56C14"/>
    <w:rsid w:val="406B7160"/>
    <w:rsid w:val="417B75E9"/>
    <w:rsid w:val="42430A63"/>
    <w:rsid w:val="42F058B7"/>
    <w:rsid w:val="436109F6"/>
    <w:rsid w:val="441A38D4"/>
    <w:rsid w:val="4504239D"/>
    <w:rsid w:val="4BC77339"/>
    <w:rsid w:val="4C9236C5"/>
    <w:rsid w:val="4DBF4740"/>
    <w:rsid w:val="4E250A85"/>
    <w:rsid w:val="4EEF47DB"/>
    <w:rsid w:val="4FFD4925"/>
    <w:rsid w:val="505C172E"/>
    <w:rsid w:val="506405EA"/>
    <w:rsid w:val="52F46F0B"/>
    <w:rsid w:val="532B6A10"/>
    <w:rsid w:val="539E4E99"/>
    <w:rsid w:val="53D8014D"/>
    <w:rsid w:val="550C209A"/>
    <w:rsid w:val="558F7F2F"/>
    <w:rsid w:val="55E064E0"/>
    <w:rsid w:val="572C6D10"/>
    <w:rsid w:val="5D7E0FB5"/>
    <w:rsid w:val="5DC34279"/>
    <w:rsid w:val="5F8968EF"/>
    <w:rsid w:val="5FCD688E"/>
    <w:rsid w:val="5FF9BDAA"/>
    <w:rsid w:val="608816D1"/>
    <w:rsid w:val="60EF4E7F"/>
    <w:rsid w:val="648B0A32"/>
    <w:rsid w:val="658F6764"/>
    <w:rsid w:val="665233C1"/>
    <w:rsid w:val="69AC0D42"/>
    <w:rsid w:val="6AD9688B"/>
    <w:rsid w:val="6B68303F"/>
    <w:rsid w:val="6D0E3F22"/>
    <w:rsid w:val="6DDF6183"/>
    <w:rsid w:val="744E4660"/>
    <w:rsid w:val="747B1BB4"/>
    <w:rsid w:val="753355A2"/>
    <w:rsid w:val="759F1C61"/>
    <w:rsid w:val="769F2DE8"/>
    <w:rsid w:val="76FDEB7C"/>
    <w:rsid w:val="79C65162"/>
    <w:rsid w:val="79EE7E31"/>
    <w:rsid w:val="7C313C51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00" w:leftChars="500" w:hanging="500" w:hangingChars="500"/>
    </w:pPr>
    <w:rPr>
      <w:rFonts w:ascii="Cambria" w:hAnsi="Cambria"/>
      <w:sz w:val="24"/>
      <w:szCs w:val="24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1"/>
    <w:qFormat/>
    <w:uiPriority w:val="0"/>
    <w:pPr>
      <w:spacing w:after="120"/>
    </w:pPr>
    <w:rPr>
      <w:rFonts w:ascii="等线" w:hAnsi="等线" w:eastAsia="等线"/>
      <w:szCs w:val="2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autoRedefine/>
    <w:qFormat/>
    <w:uiPriority w:val="0"/>
    <w:rPr>
      <w:b/>
      <w:bCs/>
    </w:rPr>
  </w:style>
  <w:style w:type="paragraph" w:customStyle="1" w:styleId="12">
    <w:name w:val="p0"/>
    <w:basedOn w:val="1"/>
    <w:autoRedefine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1923</Words>
  <Characters>2016</Characters>
  <Lines>1</Lines>
  <Paragraphs>1</Paragraphs>
  <TotalTime>9</TotalTime>
  <ScaleCrop>false</ScaleCrop>
  <LinksUpToDate>false</LinksUpToDate>
  <CharactersWithSpaces>2038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asus</cp:lastModifiedBy>
  <cp:lastPrinted>2022-06-06T16:09:00Z</cp:lastPrinted>
  <dcterms:modified xsi:type="dcterms:W3CDTF">2024-06-13T03:51:26Z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48C61CB29D3F4D9384F5922CF0F7FFB4</vt:lpwstr>
  </property>
</Properties>
</file>