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napToGrid w:val="0"/>
        <w:spacing w:beforeAutospacing="0" w:afterAutospacing="0" w:line="560" w:lineRule="exact"/>
        <w:jc w:val="center"/>
        <w:rPr>
          <w:rStyle w:val="5"/>
          <w:rFonts w:hint="default" w:ascii="方正小标宋_GBK" w:hAnsi="方正小标宋_GBK" w:eastAsia="方正小标宋_GBK" w:cs="方正小标宋_GBK"/>
          <w:b w:val="0"/>
          <w:bCs/>
          <w:sz w:val="44"/>
          <w:szCs w:val="44"/>
          <w:shd w:val="clear" w:color="auto" w:fill="FFFFFF"/>
        </w:rPr>
      </w:pPr>
      <w:r>
        <w:rPr>
          <w:rStyle w:val="5"/>
          <w:rFonts w:ascii="方正小标宋_GBK" w:hAnsi="方正小标宋_GBK" w:eastAsia="方正小标宋_GBK" w:cs="方正小标宋_GBK"/>
          <w:b w:val="0"/>
          <w:bCs/>
          <w:sz w:val="44"/>
          <w:szCs w:val="44"/>
          <w:shd w:val="clear" w:color="auto" w:fill="FFFFFF"/>
        </w:rPr>
        <w:t>重庆市渝中区住房和城市建设档案室</w:t>
      </w:r>
    </w:p>
    <w:p>
      <w:pPr>
        <w:pStyle w:val="2"/>
        <w:shd w:val="clear" w:color="auto" w:fill="FFFFFF"/>
        <w:snapToGrid w:val="0"/>
        <w:spacing w:beforeAutospacing="0" w:afterAutospacing="0" w:line="560" w:lineRule="exact"/>
        <w:jc w:val="center"/>
        <w:rPr>
          <w:rFonts w:hint="default" w:ascii="方正小标宋_GBK" w:hAnsi="方正小标宋_GBK" w:eastAsia="方正小标宋_GBK" w:cs="方正小标宋_GBK"/>
          <w:bCs/>
          <w:sz w:val="44"/>
          <w:szCs w:val="44"/>
        </w:rPr>
      </w:pPr>
      <w:r>
        <w:rPr>
          <w:rStyle w:val="5"/>
          <w:rFonts w:ascii="方正小标宋_GBK" w:hAnsi="方正小标宋_GBK" w:eastAsia="方正小标宋_GBK" w:cs="方正小标宋_GBK"/>
          <w:b w:val="0"/>
          <w:bCs/>
          <w:sz w:val="44"/>
          <w:szCs w:val="44"/>
          <w:shd w:val="clear" w:color="auto" w:fill="FFFFFF"/>
        </w:rPr>
        <w:t>（重庆市渝中区城建服务中心）</w:t>
      </w:r>
    </w:p>
    <w:p>
      <w:pPr>
        <w:pStyle w:val="2"/>
        <w:shd w:val="clear" w:color="auto" w:fill="FFFFFF"/>
        <w:snapToGrid w:val="0"/>
        <w:spacing w:beforeAutospacing="0" w:afterAutospacing="0" w:line="560" w:lineRule="exact"/>
        <w:jc w:val="center"/>
        <w:rPr>
          <w:rFonts w:hint="default" w:ascii="方正小标宋_GBK" w:hAnsi="方正小标宋_GBK" w:eastAsia="方正小标宋_GBK" w:cs="方正小标宋_GBK"/>
          <w:bCs/>
          <w:sz w:val="44"/>
          <w:szCs w:val="44"/>
        </w:rPr>
      </w:pPr>
      <w:r>
        <w:rPr>
          <w:rStyle w:val="5"/>
          <w:rFonts w:hint="default" w:ascii="Times New Roman" w:hAnsi="Times New Roman" w:eastAsia="方正小标宋_GBK"/>
          <w:b w:val="0"/>
          <w:bCs/>
          <w:sz w:val="44"/>
          <w:szCs w:val="44"/>
          <w:shd w:val="clear" w:color="auto" w:fill="FFFFFF"/>
        </w:rPr>
        <w:t>2022</w:t>
      </w:r>
      <w:r>
        <w:rPr>
          <w:rStyle w:val="5"/>
          <w:rFonts w:ascii="方正小标宋_GBK" w:hAnsi="方正小标宋_GBK" w:eastAsia="方正小标宋_GBK" w:cs="方正小标宋_GBK"/>
          <w:b w:val="0"/>
          <w:bCs/>
          <w:sz w:val="44"/>
          <w:szCs w:val="44"/>
          <w:shd w:val="clear" w:color="auto" w:fill="FFFFFF"/>
        </w:rPr>
        <w:t>年度部门决算情况说明</w:t>
      </w:r>
    </w:p>
    <w:p>
      <w:pPr>
        <w:pStyle w:val="2"/>
        <w:shd w:val="clear" w:color="auto" w:fill="FFFFFF"/>
        <w:snapToGrid w:val="0"/>
        <w:spacing w:beforeAutospacing="0" w:afterAutospacing="0" w:line="560" w:lineRule="exact"/>
        <w:rPr>
          <w:rStyle w:val="5"/>
          <w:rFonts w:hint="default" w:ascii="方正仿宋_GBK" w:hAnsi="方正仿宋_GBK" w:eastAsia="方正仿宋_GBK" w:cs="方正仿宋_GBK"/>
          <w:b w:val="0"/>
          <w:bCs/>
          <w:sz w:val="32"/>
          <w:szCs w:val="32"/>
          <w:shd w:val="clear" w:color="auto" w:fill="FFFFFF"/>
        </w:rPr>
      </w:pPr>
    </w:p>
    <w:p>
      <w:pPr>
        <w:pStyle w:val="2"/>
        <w:shd w:val="clear" w:color="auto" w:fill="FFFFFF"/>
        <w:snapToGrid w:val="0"/>
        <w:spacing w:beforeAutospacing="0" w:afterAutospacing="0" w:line="560" w:lineRule="exact"/>
        <w:ind w:firstLine="640" w:firstLineChars="200"/>
        <w:rPr>
          <w:rFonts w:hint="default" w:ascii="方正黑体_GBK" w:hAnsi="方正黑体_GBK" w:eastAsia="方正黑体_GBK" w:cs="方正黑体_GBK"/>
          <w:bCs/>
          <w:sz w:val="32"/>
          <w:szCs w:val="32"/>
        </w:rPr>
      </w:pPr>
      <w:r>
        <w:rPr>
          <w:rStyle w:val="5"/>
          <w:rFonts w:ascii="方正黑体_GBK" w:hAnsi="方正黑体_GBK" w:eastAsia="方正黑体_GBK" w:cs="方正黑体_GBK"/>
          <w:b w:val="0"/>
          <w:bCs/>
          <w:sz w:val="32"/>
          <w:szCs w:val="32"/>
          <w:shd w:val="clear" w:color="auto" w:fill="FFFFFF"/>
        </w:rPr>
        <w:t>一、部门基本情况</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（一）职能职责</w:t>
      </w:r>
    </w:p>
    <w:p>
      <w:pPr>
        <w:widowControl/>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kern w:val="0"/>
          <w:sz w:val="32"/>
          <w:szCs w:val="32"/>
          <w:lang w:bidi="ar"/>
        </w:rPr>
        <w:t>负责区管工程档案专项验收及技术档案管理的事务性、辅助性工作；接收和保管需永久和长期保存的城市建设档案，承担城市建设档案的保护开发和利用工作；负责原重庆市渝中区离退休人员服务中心、重庆市渝中区城建服务中心管理的离退休人员的日常管理和服务工作；完成上级交办的其他工作任务。</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（二）机构设置</w:t>
      </w:r>
    </w:p>
    <w:p>
      <w:pPr>
        <w:widowControl/>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kern w:val="0"/>
          <w:sz w:val="32"/>
          <w:szCs w:val="32"/>
          <w:lang w:bidi="ar"/>
        </w:rPr>
        <w:t xml:space="preserve">本单位下设三个职能科室，分别是综合事务科、档案信息科、离退休人员服务科。  </w:t>
      </w:r>
    </w:p>
    <w:p>
      <w:pPr>
        <w:pStyle w:val="2"/>
        <w:shd w:val="clear" w:color="auto" w:fill="FFFFFF"/>
        <w:snapToGrid w:val="0"/>
        <w:spacing w:beforeAutospacing="0" w:afterAutospacing="0" w:line="560" w:lineRule="exact"/>
        <w:ind w:firstLine="640" w:firstLineChars="200"/>
        <w:rPr>
          <w:rFonts w:hint="default" w:ascii="方正楷体_GBK" w:hAnsi="方正楷体_GBK" w:eastAsia="方正楷体_GBK" w:cs="方正楷体_GBK"/>
          <w:bCs/>
          <w:sz w:val="32"/>
          <w:szCs w:val="32"/>
        </w:rPr>
      </w:pPr>
      <w:r>
        <w:rPr>
          <w:rStyle w:val="5"/>
          <w:rFonts w:ascii="方正楷体_GBK" w:hAnsi="方正楷体_GBK" w:eastAsia="方正楷体_GBK" w:cs="方正楷体_GBK"/>
          <w:b w:val="0"/>
          <w:bCs/>
          <w:sz w:val="32"/>
          <w:szCs w:val="32"/>
          <w:shd w:val="clear" w:color="auto" w:fill="FFFFFF"/>
        </w:rPr>
        <w:t>（三）单位构成</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本单位下设三个职能科室，分别是综合事务科、档案信息科、离退休人员服务科。</w:t>
      </w:r>
      <w:r>
        <w:rPr>
          <w:rStyle w:val="5"/>
          <w:rFonts w:ascii="方正仿宋_GBK" w:hAnsi="方正仿宋_GBK" w:eastAsia="方正仿宋_GBK" w:cs="方正仿宋_GBK"/>
          <w:b w:val="0"/>
          <w:bCs/>
          <w:sz w:val="32"/>
          <w:szCs w:val="32"/>
          <w:shd w:val="clear" w:color="auto" w:fill="FFFFFF"/>
        </w:rPr>
        <w:t xml:space="preserve">  </w:t>
      </w:r>
    </w:p>
    <w:p>
      <w:pPr>
        <w:pStyle w:val="2"/>
        <w:shd w:val="clear" w:color="auto" w:fill="FFFFFF"/>
        <w:snapToGrid w:val="0"/>
        <w:spacing w:beforeAutospacing="0" w:afterAutospacing="0" w:line="560" w:lineRule="exact"/>
        <w:ind w:firstLine="640" w:firstLineChars="200"/>
        <w:rPr>
          <w:rFonts w:hint="default" w:ascii="方正黑体_GBK" w:hAnsi="方正黑体_GBK" w:eastAsia="方正黑体_GBK" w:cs="方正黑体_GBK"/>
          <w:bCs/>
          <w:sz w:val="32"/>
          <w:szCs w:val="32"/>
        </w:rPr>
      </w:pPr>
      <w:r>
        <w:rPr>
          <w:rStyle w:val="5"/>
          <w:rFonts w:ascii="方正黑体_GBK" w:hAnsi="方正黑体_GBK" w:eastAsia="方正黑体_GBK" w:cs="方正黑体_GBK"/>
          <w:b w:val="0"/>
          <w:bCs/>
          <w:sz w:val="32"/>
          <w:szCs w:val="32"/>
          <w:shd w:val="clear" w:color="auto" w:fill="FFFFFF"/>
        </w:rPr>
        <w:t>二、部门决算情况说明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（一）收入支出决算总体情况说明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1.总体情况。</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年度收入总计</w:t>
      </w:r>
      <w:r>
        <w:rPr>
          <w:rFonts w:hint="default" w:ascii="Times New Roman" w:hAnsi="Times New Roman" w:eastAsia="方正仿宋_GBK"/>
          <w:bCs/>
          <w:sz w:val="32"/>
          <w:szCs w:val="32"/>
          <w:shd w:val="clear" w:color="auto" w:fill="FFFFFF"/>
        </w:rPr>
        <w:t>4,351.61</w:t>
      </w:r>
      <w:r>
        <w:rPr>
          <w:rFonts w:ascii="方正仿宋_GBK" w:hAnsi="方正仿宋_GBK" w:eastAsia="方正仿宋_GBK" w:cs="方正仿宋_GBK"/>
          <w:bCs/>
          <w:snapToGrid w:val="0"/>
          <w:sz w:val="32"/>
          <w:szCs w:val="32"/>
          <w:shd w:val="clear" w:color="auto" w:fill="FFFFFF"/>
        </w:rPr>
        <w:t>万元，支出总计</w:t>
      </w:r>
      <w:r>
        <w:rPr>
          <w:rFonts w:hint="default" w:ascii="Times New Roman" w:hAnsi="Times New Roman" w:eastAsia="方正仿宋_GBK"/>
          <w:bCs/>
          <w:sz w:val="32"/>
          <w:szCs w:val="32"/>
          <w:shd w:val="clear" w:color="auto" w:fill="FFFFFF"/>
        </w:rPr>
        <w:t>4,351.61</w:t>
      </w:r>
      <w:r>
        <w:rPr>
          <w:rFonts w:ascii="方正仿宋_GBK" w:hAnsi="方正仿宋_GBK" w:eastAsia="方正仿宋_GBK" w:cs="方正仿宋_GBK"/>
          <w:bCs/>
          <w:snapToGrid w:val="0"/>
          <w:sz w:val="32"/>
          <w:szCs w:val="32"/>
          <w:shd w:val="clear" w:color="auto" w:fill="FFFFFF"/>
        </w:rPr>
        <w:t>万元。收支较上年决算数减少</w:t>
      </w:r>
      <w:r>
        <w:rPr>
          <w:rFonts w:hint="default" w:ascii="Times New Roman" w:hAnsi="Times New Roman" w:eastAsia="方正仿宋_GBK"/>
          <w:bCs/>
          <w:sz w:val="32"/>
          <w:szCs w:val="32"/>
          <w:shd w:val="clear" w:color="auto" w:fill="FFFFFF"/>
        </w:rPr>
        <w:t>191.20</w:t>
      </w:r>
      <w:r>
        <w:rPr>
          <w:rFonts w:ascii="方正仿宋_GBK" w:hAnsi="方正仿宋_GBK" w:eastAsia="方正仿宋_GBK" w:cs="方正仿宋_GBK"/>
          <w:bCs/>
          <w:snapToGrid w:val="0"/>
          <w:sz w:val="32"/>
          <w:szCs w:val="32"/>
          <w:shd w:val="clear" w:color="auto" w:fill="FFFFFF"/>
        </w:rPr>
        <w:t>万元</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下降</w:t>
      </w:r>
      <w:r>
        <w:rPr>
          <w:rFonts w:hint="default" w:ascii="Times New Roman" w:hAnsi="Times New Roman" w:eastAsia="方正仿宋_GBK"/>
          <w:bCs/>
          <w:sz w:val="32"/>
          <w:szCs w:val="32"/>
          <w:shd w:val="clear" w:color="auto" w:fill="FFFFFF"/>
        </w:rPr>
        <w:t>4.2%</w:t>
      </w:r>
      <w:r>
        <w:rPr>
          <w:rFonts w:ascii="方正仿宋_GBK" w:hAnsi="方正仿宋_GBK" w:eastAsia="方正仿宋_GBK" w:cs="方正仿宋_GBK"/>
          <w:bCs/>
          <w:snapToGrid w:val="0"/>
          <w:sz w:val="32"/>
          <w:szCs w:val="32"/>
          <w:shd w:val="clear" w:color="auto" w:fill="FFFFFF"/>
        </w:rPr>
        <w:t>，主要原因是</w:t>
      </w:r>
      <w:bookmarkStart w:id="0" w:name="_GoBack"/>
      <w:bookmarkEnd w:id="0"/>
      <w:r>
        <w:rPr>
          <w:rFonts w:hint="eastAsia" w:ascii="方正仿宋_GBK" w:hAnsi="方正仿宋_GBK" w:eastAsia="方正仿宋_GBK" w:cs="方正仿宋_GBK"/>
          <w:bCs/>
          <w:snapToGrid w:val="0"/>
          <w:sz w:val="32"/>
          <w:szCs w:val="32"/>
          <w:shd w:val="clear" w:color="auto" w:fill="FFFFFF"/>
          <w:lang w:eastAsia="zh-CN"/>
        </w:rPr>
        <w:t>厉行节约</w:t>
      </w:r>
      <w:r>
        <w:rPr>
          <w:rFonts w:ascii="方正仿宋_GBK" w:hAnsi="方正仿宋_GBK" w:eastAsia="方正仿宋_GBK" w:cs="方正仿宋_GBK"/>
          <w:bCs/>
          <w:snapToGrid w:val="0"/>
          <w:sz w:val="32"/>
          <w:szCs w:val="32"/>
          <w:shd w:val="clear" w:color="auto" w:fill="FFFFFF"/>
        </w:rPr>
        <w:t>一般公用支出减少</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部分离退休人员去世</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离退休人员费用减少</w:t>
      </w:r>
      <w:r>
        <w:rPr>
          <w:rFonts w:ascii="方正仿宋_GBK" w:hAnsi="方正仿宋_GBK" w:eastAsia="方正仿宋_GBK" w:cs="方正仿宋_GBK"/>
          <w:bCs/>
          <w:sz w:val="32"/>
          <w:szCs w:val="32"/>
          <w:shd w:val="clear" w:color="auto" w:fill="FFFFFF"/>
        </w:rPr>
        <w:t>.</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00"/>
        </w:rPr>
      </w:pPr>
      <w:r>
        <w:rPr>
          <w:rStyle w:val="5"/>
          <w:rFonts w:ascii="方正仿宋_GBK" w:hAnsi="方正仿宋_GBK" w:eastAsia="方正仿宋_GBK" w:cs="方正仿宋_GBK"/>
          <w:b w:val="0"/>
          <w:bCs/>
          <w:sz w:val="32"/>
          <w:szCs w:val="32"/>
          <w:shd w:val="clear" w:color="auto" w:fill="FFFFFF"/>
        </w:rPr>
        <w:t>2.收入情况。</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年度收入合计</w:t>
      </w:r>
      <w:r>
        <w:rPr>
          <w:rFonts w:hint="default" w:ascii="Times New Roman" w:hAnsi="Times New Roman" w:eastAsia="方正仿宋_GBK"/>
          <w:bCs/>
          <w:sz w:val="32"/>
          <w:szCs w:val="32"/>
          <w:shd w:val="clear" w:color="auto" w:fill="FFFFFF"/>
        </w:rPr>
        <w:t>4,346.60</w:t>
      </w:r>
      <w:r>
        <w:rPr>
          <w:rFonts w:ascii="方正仿宋_GBK" w:hAnsi="方正仿宋_GBK" w:eastAsia="方正仿宋_GBK" w:cs="方正仿宋_GBK"/>
          <w:bCs/>
          <w:snapToGrid w:val="0"/>
          <w:sz w:val="32"/>
          <w:szCs w:val="32"/>
          <w:shd w:val="clear" w:color="auto" w:fill="FFFFFF"/>
        </w:rPr>
        <w:t>万元，较上年决算数减少</w:t>
      </w:r>
      <w:r>
        <w:rPr>
          <w:rFonts w:hint="default" w:ascii="Times New Roman" w:hAnsi="Times New Roman" w:eastAsia="方正仿宋_GBK"/>
          <w:bCs/>
          <w:sz w:val="32"/>
          <w:szCs w:val="32"/>
          <w:shd w:val="clear" w:color="auto" w:fill="FFFFFF"/>
        </w:rPr>
        <w:t>54.93</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1.2%</w:t>
      </w:r>
      <w:r>
        <w:rPr>
          <w:rFonts w:ascii="方正仿宋_GBK" w:hAnsi="方正仿宋_GBK" w:eastAsia="方正仿宋_GBK" w:cs="方正仿宋_GBK"/>
          <w:bCs/>
          <w:snapToGrid w:val="0"/>
          <w:sz w:val="32"/>
          <w:szCs w:val="32"/>
          <w:shd w:val="clear" w:color="auto" w:fill="FFFFFF"/>
        </w:rPr>
        <w:t>，主要原因是项目数量减少</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其中：财政拨款收入</w:t>
      </w:r>
      <w:r>
        <w:rPr>
          <w:rFonts w:hint="default" w:ascii="Times New Roman" w:hAnsi="Times New Roman" w:eastAsia="方正仿宋_GBK"/>
          <w:bCs/>
          <w:sz w:val="32"/>
          <w:szCs w:val="32"/>
          <w:shd w:val="clear" w:color="auto" w:fill="FFFFFF"/>
        </w:rPr>
        <w:t>4,346.60</w:t>
      </w:r>
      <w:r>
        <w:rPr>
          <w:rFonts w:ascii="方正仿宋_GBK" w:hAnsi="方正仿宋_GBK" w:eastAsia="方正仿宋_GBK" w:cs="方正仿宋_GBK"/>
          <w:bCs/>
          <w:snapToGrid w:val="0"/>
          <w:sz w:val="32"/>
          <w:szCs w:val="32"/>
          <w:shd w:val="clear" w:color="auto" w:fill="FFFFFF"/>
        </w:rPr>
        <w:t>万元，占</w:t>
      </w:r>
      <w:r>
        <w:rPr>
          <w:rFonts w:hint="default" w:ascii="Times New Roman" w:hAnsi="Times New Roman" w:eastAsia="方正仿宋_GBK"/>
          <w:bCs/>
          <w:sz w:val="32"/>
          <w:szCs w:val="32"/>
          <w:shd w:val="clear" w:color="auto" w:fill="FFFFFF"/>
        </w:rPr>
        <w:t>100%</w:t>
      </w:r>
      <w:r>
        <w:rPr>
          <w:rFonts w:ascii="方正仿宋_GBK" w:hAnsi="方正仿宋_GBK" w:eastAsia="方正仿宋_GBK" w:cs="方正仿宋_GBK"/>
          <w:bCs/>
          <w:snapToGrid w:val="0"/>
          <w:sz w:val="32"/>
          <w:szCs w:val="32"/>
          <w:shd w:val="clear" w:color="auto" w:fill="FFFFFF"/>
        </w:rPr>
        <w:t>，年初结转和结余</w:t>
      </w:r>
      <w:r>
        <w:rPr>
          <w:rFonts w:hint="default" w:ascii="Times New Roman" w:hAnsi="Times New Roman" w:eastAsia="方正仿宋_GBK"/>
          <w:bCs/>
          <w:sz w:val="32"/>
          <w:szCs w:val="32"/>
          <w:shd w:val="clear" w:color="auto" w:fill="FFFFFF"/>
        </w:rPr>
        <w:t>5.01</w:t>
      </w:r>
      <w:r>
        <w:rPr>
          <w:rFonts w:ascii="方正仿宋_GBK" w:hAnsi="方正仿宋_GBK" w:eastAsia="方正仿宋_GBK" w:cs="方正仿宋_GBK"/>
          <w:bCs/>
          <w:snapToGrid w:val="0"/>
          <w:sz w:val="32"/>
          <w:szCs w:val="32"/>
          <w:shd w:val="clear" w:color="auto" w:fill="FFFFFF"/>
        </w:rPr>
        <w:t>万元。</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3.支出情况。</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年度支出合计</w:t>
      </w:r>
      <w:r>
        <w:rPr>
          <w:rFonts w:hint="default" w:ascii="Times New Roman" w:hAnsi="Times New Roman" w:eastAsia="方正仿宋_GBK"/>
          <w:bCs/>
          <w:sz w:val="32"/>
          <w:szCs w:val="32"/>
          <w:shd w:val="clear" w:color="auto" w:fill="FFFFFF"/>
        </w:rPr>
        <w:t>4,346.60</w:t>
      </w:r>
      <w:r>
        <w:rPr>
          <w:rFonts w:ascii="方正仿宋_GBK" w:hAnsi="方正仿宋_GBK" w:eastAsia="方正仿宋_GBK" w:cs="方正仿宋_GBK"/>
          <w:bCs/>
          <w:snapToGrid w:val="0"/>
          <w:sz w:val="32"/>
          <w:szCs w:val="32"/>
          <w:shd w:val="clear" w:color="auto" w:fill="FFFFFF"/>
        </w:rPr>
        <w:t>万元，较上年决算减少</w:t>
      </w:r>
      <w:r>
        <w:rPr>
          <w:rFonts w:hint="default" w:ascii="Times New Roman" w:hAnsi="Times New Roman" w:eastAsia="方正仿宋_GBK"/>
          <w:bCs/>
          <w:sz w:val="32"/>
          <w:szCs w:val="32"/>
          <w:shd w:val="clear" w:color="auto" w:fill="FFFFFF"/>
        </w:rPr>
        <w:t>191.20</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4.2%</w:t>
      </w:r>
      <w:r>
        <w:rPr>
          <w:rFonts w:ascii="方正仿宋_GBK" w:hAnsi="方正仿宋_GBK" w:eastAsia="方正仿宋_GBK" w:cs="方正仿宋_GBK"/>
          <w:bCs/>
          <w:snapToGrid w:val="0"/>
          <w:sz w:val="32"/>
          <w:szCs w:val="32"/>
          <w:shd w:val="clear" w:color="auto" w:fill="FFFFFF"/>
        </w:rPr>
        <w:t>，主要原因是项目数量缩减</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项目支出减少。离退休人员费用减少</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其中：基本支出</w:t>
      </w:r>
      <w:r>
        <w:rPr>
          <w:rFonts w:hint="default" w:ascii="Times New Roman" w:hAnsi="Times New Roman" w:eastAsia="方正仿宋_GBK"/>
          <w:bCs/>
          <w:sz w:val="32"/>
          <w:szCs w:val="32"/>
          <w:shd w:val="clear" w:color="auto" w:fill="FFFFFF"/>
        </w:rPr>
        <w:t>4,297.35</w:t>
      </w:r>
      <w:r>
        <w:rPr>
          <w:rFonts w:ascii="方正仿宋_GBK" w:hAnsi="方正仿宋_GBK" w:eastAsia="方正仿宋_GBK" w:cs="方正仿宋_GBK"/>
          <w:bCs/>
          <w:snapToGrid w:val="0"/>
          <w:sz w:val="32"/>
          <w:szCs w:val="32"/>
          <w:shd w:val="clear" w:color="auto" w:fill="FFFFFF"/>
        </w:rPr>
        <w:t>万元，占</w:t>
      </w:r>
      <w:r>
        <w:rPr>
          <w:rFonts w:hint="default" w:ascii="Times New Roman" w:hAnsi="Times New Roman" w:eastAsia="方正仿宋_GBK"/>
          <w:bCs/>
          <w:sz w:val="32"/>
          <w:szCs w:val="32"/>
          <w:shd w:val="clear" w:color="auto" w:fill="FFFFFF"/>
        </w:rPr>
        <w:t>98.9%</w:t>
      </w:r>
      <w:r>
        <w:rPr>
          <w:rFonts w:ascii="方正仿宋_GBK" w:hAnsi="方正仿宋_GBK" w:eastAsia="方正仿宋_GBK" w:cs="方正仿宋_GBK"/>
          <w:bCs/>
          <w:snapToGrid w:val="0"/>
          <w:sz w:val="32"/>
          <w:szCs w:val="32"/>
          <w:shd w:val="clear" w:color="auto" w:fill="FFFFFF"/>
        </w:rPr>
        <w:t>；项目支出</w:t>
      </w:r>
      <w:r>
        <w:rPr>
          <w:rFonts w:hint="default" w:ascii="Times New Roman" w:hAnsi="Times New Roman" w:eastAsia="方正仿宋_GBK"/>
          <w:bCs/>
          <w:sz w:val="32"/>
          <w:szCs w:val="32"/>
          <w:shd w:val="clear" w:color="auto" w:fill="FFFFFF"/>
        </w:rPr>
        <w:t>49.26</w:t>
      </w:r>
      <w:r>
        <w:rPr>
          <w:rFonts w:ascii="方正仿宋_GBK" w:hAnsi="方正仿宋_GBK" w:eastAsia="方正仿宋_GBK" w:cs="方正仿宋_GBK"/>
          <w:bCs/>
          <w:snapToGrid w:val="0"/>
          <w:sz w:val="32"/>
          <w:szCs w:val="32"/>
          <w:shd w:val="clear" w:color="auto" w:fill="FFFFFF"/>
        </w:rPr>
        <w:t>万元，占</w:t>
      </w:r>
      <w:r>
        <w:rPr>
          <w:rFonts w:hint="default" w:ascii="Times New Roman" w:hAnsi="Times New Roman" w:eastAsia="方正仿宋_GBK"/>
          <w:bCs/>
          <w:sz w:val="32"/>
          <w:szCs w:val="32"/>
          <w:shd w:val="clear" w:color="auto" w:fill="FFFFFF"/>
        </w:rPr>
        <w:t>1.1%</w:t>
      </w:r>
      <w:r>
        <w:rPr>
          <w:rFonts w:ascii="方正仿宋_GBK" w:hAnsi="方正仿宋_GBK" w:eastAsia="方正仿宋_GBK" w:cs="方正仿宋_GBK"/>
          <w:bCs/>
          <w:sz w:val="32"/>
          <w:szCs w:val="32"/>
          <w:shd w:val="clear" w:color="auto" w:fill="FFFFFF"/>
        </w:rPr>
        <w:t>。</w:t>
      </w:r>
    </w:p>
    <w:p>
      <w:pPr>
        <w:pStyle w:val="2"/>
        <w:shd w:val="clear" w:color="auto" w:fill="FFFFFF"/>
        <w:snapToGrid w:val="0"/>
        <w:spacing w:beforeAutospacing="0" w:afterAutospacing="0" w:line="560" w:lineRule="exact"/>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 xml:space="preserve">    4.结转结余情况。</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年度年末结转和结余</w:t>
      </w:r>
      <w:r>
        <w:rPr>
          <w:rFonts w:hint="default" w:ascii="Times New Roman" w:hAnsi="Times New Roman" w:eastAsia="方正仿宋_GBK"/>
          <w:bCs/>
          <w:sz w:val="32"/>
          <w:szCs w:val="32"/>
          <w:shd w:val="clear" w:color="auto" w:fill="FFFFFF"/>
        </w:rPr>
        <w:t>5.01</w:t>
      </w:r>
      <w:r>
        <w:rPr>
          <w:rFonts w:ascii="方正仿宋_GBK" w:hAnsi="方正仿宋_GBK" w:eastAsia="方正仿宋_GBK" w:cs="方正仿宋_GBK"/>
          <w:bCs/>
          <w:snapToGrid w:val="0"/>
          <w:sz w:val="32"/>
          <w:szCs w:val="32"/>
          <w:shd w:val="clear" w:color="auto" w:fill="FFFFFF"/>
        </w:rPr>
        <w:t>万元</w:t>
      </w:r>
      <w:r>
        <w:rPr>
          <w:rFonts w:ascii="方正仿宋_GBK" w:hAnsi="方正仿宋_GBK" w:eastAsia="方正仿宋_GBK" w:cs="方正仿宋_GBK"/>
          <w:bCs/>
          <w:sz w:val="32"/>
          <w:szCs w:val="32"/>
          <w:shd w:val="clear" w:color="auto" w:fill="FFFFFF"/>
        </w:rPr>
        <w:t>.</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（二）财政拨款收入支出决算总体情况说明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年度财政拨款收、支总计</w:t>
      </w:r>
      <w:r>
        <w:rPr>
          <w:rFonts w:hint="default" w:ascii="Times New Roman" w:hAnsi="Times New Roman" w:eastAsia="方正仿宋_GBK"/>
          <w:bCs/>
          <w:sz w:val="32"/>
          <w:szCs w:val="32"/>
          <w:shd w:val="clear" w:color="auto" w:fill="FFFFFF"/>
        </w:rPr>
        <w:t>4,351.61</w:t>
      </w:r>
      <w:r>
        <w:rPr>
          <w:rFonts w:ascii="方正仿宋_GBK" w:hAnsi="方正仿宋_GBK" w:eastAsia="方正仿宋_GBK" w:cs="方正仿宋_GBK"/>
          <w:bCs/>
          <w:snapToGrid w:val="0"/>
          <w:sz w:val="32"/>
          <w:szCs w:val="32"/>
          <w:shd w:val="clear" w:color="auto" w:fill="FFFFFF"/>
        </w:rPr>
        <w:t>万元。与</w:t>
      </w:r>
      <w:r>
        <w:rPr>
          <w:rFonts w:hint="default" w:ascii="Times New Roman" w:hAnsi="Times New Roman" w:eastAsia="方正仿宋_GBK"/>
          <w:bCs/>
          <w:sz w:val="32"/>
          <w:szCs w:val="32"/>
          <w:shd w:val="clear" w:color="auto" w:fill="FFFFFF"/>
        </w:rPr>
        <w:t>2021</w:t>
      </w:r>
      <w:r>
        <w:rPr>
          <w:rFonts w:ascii="方正仿宋_GBK" w:hAnsi="方正仿宋_GBK" w:eastAsia="方正仿宋_GBK" w:cs="方正仿宋_GBK"/>
          <w:bCs/>
          <w:snapToGrid w:val="0"/>
          <w:sz w:val="32"/>
          <w:szCs w:val="32"/>
          <w:shd w:val="clear" w:color="auto" w:fill="FFFFFF"/>
        </w:rPr>
        <w:t>年相比，财政拨款收、支总计各减少</w:t>
      </w:r>
      <w:r>
        <w:rPr>
          <w:rFonts w:hint="default" w:ascii="Times New Roman" w:hAnsi="Times New Roman" w:eastAsia="方正仿宋_GBK"/>
          <w:bCs/>
          <w:sz w:val="32"/>
          <w:szCs w:val="32"/>
          <w:shd w:val="clear" w:color="auto" w:fill="FFFFFF"/>
        </w:rPr>
        <w:t>191.20</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4.2%</w:t>
      </w:r>
      <w:r>
        <w:rPr>
          <w:rFonts w:ascii="方正仿宋_GBK" w:hAnsi="方正仿宋_GBK" w:eastAsia="方正仿宋_GBK" w:cs="方正仿宋_GBK"/>
          <w:bCs/>
          <w:snapToGrid w:val="0"/>
          <w:sz w:val="32"/>
          <w:szCs w:val="32"/>
          <w:shd w:val="clear" w:color="auto" w:fill="FFFFFF"/>
        </w:rPr>
        <w:t>。主要原因是主要原因是项目数量缩减</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项目支出减少，离退休人员费用减少。</w:t>
      </w:r>
    </w:p>
    <w:p>
      <w:pPr>
        <w:pStyle w:val="2"/>
        <w:shd w:val="clear" w:color="auto" w:fill="FFFFFF"/>
        <w:snapToGrid w:val="0"/>
        <w:spacing w:beforeAutospacing="0" w:afterAutospacing="0" w:line="560" w:lineRule="exact"/>
        <w:ind w:firstLine="640" w:firstLineChars="200"/>
        <w:rPr>
          <w:rFonts w:hint="default" w:ascii="方正楷体_GBK" w:hAnsi="方正楷体_GBK" w:eastAsia="方正楷体_GBK" w:cs="方正楷体_GBK"/>
          <w:bCs/>
          <w:sz w:val="32"/>
          <w:szCs w:val="32"/>
        </w:rPr>
      </w:pPr>
      <w:r>
        <w:rPr>
          <w:rStyle w:val="5"/>
          <w:rFonts w:ascii="方正楷体_GBK" w:hAnsi="方正楷体_GBK" w:eastAsia="方正楷体_GBK" w:cs="方正楷体_GBK"/>
          <w:b w:val="0"/>
          <w:bCs/>
          <w:sz w:val="32"/>
          <w:szCs w:val="32"/>
          <w:shd w:val="clear" w:color="auto" w:fill="FFFFFF"/>
        </w:rPr>
        <w:t>（三）一般公共预算财政拨款收入支出决算情况说明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1.收入情况。</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年度一般公共预算财政拨款收入</w:t>
      </w:r>
      <w:r>
        <w:rPr>
          <w:rFonts w:hint="default" w:ascii="Times New Roman" w:hAnsi="Times New Roman" w:eastAsia="方正仿宋_GBK"/>
          <w:bCs/>
          <w:sz w:val="32"/>
          <w:szCs w:val="32"/>
          <w:shd w:val="clear" w:color="auto" w:fill="FFFFFF"/>
        </w:rPr>
        <w:t>4,346.60</w:t>
      </w:r>
      <w:r>
        <w:rPr>
          <w:rFonts w:ascii="方正仿宋_GBK" w:hAnsi="方正仿宋_GBK" w:eastAsia="方正仿宋_GBK" w:cs="方正仿宋_GBK"/>
          <w:bCs/>
          <w:snapToGrid w:val="0"/>
          <w:sz w:val="32"/>
          <w:szCs w:val="32"/>
          <w:shd w:val="clear" w:color="auto" w:fill="FFFFFF"/>
        </w:rPr>
        <w:t>万元，较上年决算数减少</w:t>
      </w:r>
      <w:r>
        <w:rPr>
          <w:rFonts w:hint="default" w:ascii="Times New Roman" w:hAnsi="Times New Roman" w:eastAsia="方正仿宋_GBK"/>
          <w:bCs/>
          <w:sz w:val="32"/>
          <w:szCs w:val="32"/>
          <w:shd w:val="clear" w:color="auto" w:fill="FFFFFF"/>
        </w:rPr>
        <w:t>54.93</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1.2%</w:t>
      </w:r>
      <w:r>
        <w:rPr>
          <w:rFonts w:ascii="方正仿宋_GBK" w:hAnsi="方正仿宋_GBK" w:eastAsia="方正仿宋_GBK" w:cs="方正仿宋_GBK"/>
          <w:bCs/>
          <w:snapToGrid w:val="0"/>
          <w:sz w:val="32"/>
          <w:szCs w:val="32"/>
          <w:shd w:val="clear" w:color="auto" w:fill="FFFFFF"/>
        </w:rPr>
        <w:t>。主要原因是一般公用支出减少</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有离退休人员去世</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离退休人员费用减少。较年初预算数增加</w:t>
      </w:r>
      <w:r>
        <w:rPr>
          <w:rFonts w:hint="default" w:ascii="Times New Roman" w:hAnsi="Times New Roman" w:eastAsia="方正仿宋_GBK"/>
          <w:bCs/>
          <w:sz w:val="32"/>
          <w:szCs w:val="32"/>
          <w:shd w:val="clear" w:color="auto" w:fill="FFFFFF"/>
        </w:rPr>
        <w:t>112.18</w:t>
      </w:r>
      <w:r>
        <w:rPr>
          <w:rFonts w:ascii="方正仿宋_GBK" w:hAnsi="方正仿宋_GBK" w:eastAsia="方正仿宋_GBK" w:cs="方正仿宋_GBK"/>
          <w:bCs/>
          <w:snapToGrid w:val="0"/>
          <w:sz w:val="32"/>
          <w:szCs w:val="32"/>
          <w:shd w:val="clear" w:color="auto" w:fill="FFFFFF"/>
        </w:rPr>
        <w:t>万元，增长</w:t>
      </w:r>
      <w:r>
        <w:rPr>
          <w:rFonts w:hint="default" w:ascii="Times New Roman" w:hAnsi="Times New Roman" w:eastAsia="方正仿宋_GBK"/>
          <w:bCs/>
          <w:sz w:val="32"/>
          <w:szCs w:val="32"/>
          <w:shd w:val="clear" w:color="auto" w:fill="FFFFFF"/>
        </w:rPr>
        <w:t>2.6%</w:t>
      </w:r>
      <w:r>
        <w:rPr>
          <w:rFonts w:ascii="方正仿宋_GBK" w:hAnsi="方正仿宋_GBK" w:eastAsia="方正仿宋_GBK" w:cs="方正仿宋_GBK"/>
          <w:bCs/>
          <w:snapToGrid w:val="0"/>
          <w:sz w:val="32"/>
          <w:szCs w:val="32"/>
          <w:shd w:val="clear" w:color="auto" w:fill="FFFFFF"/>
        </w:rPr>
        <w:t>。主要原因是社会保障性缴费，公积金政策性调基，增人增资。此外，年初财政拨款结转和结余</w:t>
      </w:r>
      <w:r>
        <w:rPr>
          <w:rFonts w:hint="default" w:ascii="Times New Roman" w:hAnsi="Times New Roman" w:eastAsia="方正仿宋_GBK"/>
          <w:bCs/>
          <w:sz w:val="32"/>
          <w:szCs w:val="32"/>
          <w:shd w:val="clear" w:color="auto" w:fill="FFFFFF"/>
        </w:rPr>
        <w:t>5.01</w:t>
      </w:r>
      <w:r>
        <w:rPr>
          <w:rFonts w:ascii="方正仿宋_GBK" w:hAnsi="方正仿宋_GBK" w:eastAsia="方正仿宋_GBK" w:cs="方正仿宋_GBK"/>
          <w:bCs/>
          <w:snapToGrid w:val="0"/>
          <w:sz w:val="32"/>
          <w:szCs w:val="32"/>
          <w:shd w:val="clear" w:color="auto" w:fill="FFFFFF"/>
        </w:rPr>
        <w:t>万元。</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2.支出情况。</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年度一般公共预算财政拨款支出</w:t>
      </w:r>
      <w:r>
        <w:rPr>
          <w:rFonts w:hint="default" w:ascii="Times New Roman" w:hAnsi="Times New Roman" w:eastAsia="方正仿宋_GBK"/>
          <w:bCs/>
          <w:sz w:val="32"/>
          <w:szCs w:val="32"/>
          <w:shd w:val="clear" w:color="auto" w:fill="FFFFFF"/>
        </w:rPr>
        <w:t>4,346.60</w:t>
      </w:r>
      <w:r>
        <w:rPr>
          <w:rFonts w:ascii="方正仿宋_GBK" w:hAnsi="方正仿宋_GBK" w:eastAsia="方正仿宋_GBK" w:cs="方正仿宋_GBK"/>
          <w:bCs/>
          <w:snapToGrid w:val="0"/>
          <w:sz w:val="32"/>
          <w:szCs w:val="32"/>
          <w:shd w:val="clear" w:color="auto" w:fill="FFFFFF"/>
        </w:rPr>
        <w:t>万元，较上年决算数减少</w:t>
      </w:r>
      <w:r>
        <w:rPr>
          <w:rFonts w:hint="default" w:ascii="Times New Roman" w:hAnsi="Times New Roman" w:eastAsia="方正仿宋_GBK"/>
          <w:bCs/>
          <w:sz w:val="32"/>
          <w:szCs w:val="32"/>
          <w:shd w:val="clear" w:color="auto" w:fill="FFFFFF"/>
        </w:rPr>
        <w:t>191.20</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4.2%</w:t>
      </w:r>
      <w:r>
        <w:rPr>
          <w:rFonts w:ascii="方正仿宋_GBK" w:hAnsi="方正仿宋_GBK" w:eastAsia="方正仿宋_GBK" w:cs="方正仿宋_GBK"/>
          <w:bCs/>
          <w:snapToGrid w:val="0"/>
          <w:sz w:val="32"/>
          <w:szCs w:val="32"/>
          <w:shd w:val="clear" w:color="auto" w:fill="FFFFFF"/>
        </w:rPr>
        <w:t>。主要原因是项目数量缩减</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项目支出减少，离退休人员费用减少。较年初预算数增加</w:t>
      </w:r>
      <w:r>
        <w:rPr>
          <w:rFonts w:hint="default" w:ascii="Times New Roman" w:hAnsi="Times New Roman" w:eastAsia="方正仿宋_GBK"/>
          <w:bCs/>
          <w:sz w:val="32"/>
          <w:szCs w:val="32"/>
          <w:shd w:val="clear" w:color="auto" w:fill="FFFFFF"/>
        </w:rPr>
        <w:t>112.18</w:t>
      </w:r>
      <w:r>
        <w:rPr>
          <w:rFonts w:ascii="方正仿宋_GBK" w:hAnsi="方正仿宋_GBK" w:eastAsia="方正仿宋_GBK" w:cs="方正仿宋_GBK"/>
          <w:bCs/>
          <w:snapToGrid w:val="0"/>
          <w:sz w:val="32"/>
          <w:szCs w:val="32"/>
          <w:shd w:val="clear" w:color="auto" w:fill="FFFFFF"/>
        </w:rPr>
        <w:t>万元，增长</w:t>
      </w:r>
      <w:r>
        <w:rPr>
          <w:rFonts w:hint="default" w:ascii="Times New Roman" w:hAnsi="Times New Roman" w:eastAsia="方正仿宋_GBK"/>
          <w:bCs/>
          <w:sz w:val="32"/>
          <w:szCs w:val="32"/>
          <w:shd w:val="clear" w:color="auto" w:fill="FFFFFF"/>
        </w:rPr>
        <w:t>2.6%</w:t>
      </w:r>
      <w:r>
        <w:rPr>
          <w:rFonts w:ascii="方正仿宋_GBK" w:hAnsi="方正仿宋_GBK" w:eastAsia="方正仿宋_GBK" w:cs="方正仿宋_GBK"/>
          <w:bCs/>
          <w:snapToGrid w:val="0"/>
          <w:sz w:val="32"/>
          <w:szCs w:val="32"/>
          <w:shd w:val="clear" w:color="auto" w:fill="FFFFFF"/>
        </w:rPr>
        <w:t>。主要原因是社会保障性缴费，公积金政策性调基，增人增资。</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3.结转结余情况。</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年度年末一般公共预算财政拨款结转和结余</w:t>
      </w:r>
      <w:r>
        <w:rPr>
          <w:rFonts w:hint="default" w:ascii="Times New Roman" w:hAnsi="Times New Roman" w:eastAsia="方正仿宋_GBK"/>
          <w:bCs/>
          <w:sz w:val="32"/>
          <w:szCs w:val="32"/>
          <w:shd w:val="clear" w:color="auto" w:fill="FFFFFF"/>
        </w:rPr>
        <w:t>5.01</w:t>
      </w:r>
      <w:r>
        <w:rPr>
          <w:rFonts w:ascii="方正仿宋_GBK" w:hAnsi="方正仿宋_GBK" w:eastAsia="方正仿宋_GBK" w:cs="方正仿宋_GBK"/>
          <w:bCs/>
          <w:snapToGrid w:val="0"/>
          <w:sz w:val="32"/>
          <w:szCs w:val="32"/>
          <w:shd w:val="clear" w:color="auto" w:fill="FFFFFF"/>
        </w:rPr>
        <w:t>万元。</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color w:val="FF0000"/>
          <w:sz w:val="32"/>
          <w:szCs w:val="32"/>
          <w:shd w:val="clear" w:color="auto" w:fill="FFFF00"/>
        </w:rPr>
      </w:pPr>
      <w:r>
        <w:rPr>
          <w:rStyle w:val="5"/>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bCs/>
          <w:snapToGrid w:val="0"/>
          <w:sz w:val="32"/>
          <w:szCs w:val="32"/>
          <w:shd w:val="clear" w:color="auto" w:fill="FFFFFF"/>
        </w:rPr>
        <w:t>本部门</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年度一般公共预算财政拨款支出主要用于以下几个方面：</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1</w:t>
      </w:r>
      <w:r>
        <w:rPr>
          <w:rFonts w:ascii="方正仿宋_GBK" w:hAnsi="方正仿宋_GBK" w:eastAsia="方正仿宋_GBK" w:cs="方正仿宋_GBK"/>
          <w:bCs/>
          <w:snapToGrid w:val="0"/>
          <w:sz w:val="32"/>
          <w:szCs w:val="32"/>
          <w:shd w:val="clear" w:color="auto" w:fill="FFFFFF"/>
        </w:rPr>
        <w:t>）社会保障与就业支出</w:t>
      </w:r>
      <w:r>
        <w:rPr>
          <w:rFonts w:hint="default" w:ascii="Times New Roman" w:hAnsi="Times New Roman" w:eastAsia="方正仿宋_GBK"/>
          <w:bCs/>
          <w:sz w:val="32"/>
          <w:szCs w:val="32"/>
          <w:shd w:val="clear" w:color="auto" w:fill="FFFFFF"/>
        </w:rPr>
        <w:t>3,855.51</w:t>
      </w:r>
      <w:r>
        <w:rPr>
          <w:rFonts w:ascii="方正仿宋_GBK" w:hAnsi="方正仿宋_GBK" w:eastAsia="方正仿宋_GBK" w:cs="方正仿宋_GBK"/>
          <w:bCs/>
          <w:snapToGrid w:val="0"/>
          <w:sz w:val="32"/>
          <w:szCs w:val="32"/>
          <w:shd w:val="clear" w:color="auto" w:fill="FFFFFF"/>
        </w:rPr>
        <w:t>万元，占</w:t>
      </w:r>
      <w:r>
        <w:rPr>
          <w:rFonts w:hint="default" w:ascii="Times New Roman" w:hAnsi="Times New Roman" w:eastAsia="方正仿宋_GBK"/>
          <w:bCs/>
          <w:sz w:val="32"/>
          <w:szCs w:val="32"/>
          <w:shd w:val="clear" w:color="auto" w:fill="FFFFFF"/>
        </w:rPr>
        <w:t>88.7%</w:t>
      </w:r>
      <w:r>
        <w:rPr>
          <w:rFonts w:ascii="方正仿宋_GBK" w:hAnsi="方正仿宋_GBK" w:eastAsia="方正仿宋_GBK" w:cs="方正仿宋_GBK"/>
          <w:bCs/>
          <w:snapToGrid w:val="0"/>
          <w:sz w:val="32"/>
          <w:szCs w:val="32"/>
          <w:shd w:val="clear" w:color="auto" w:fill="FFFFFF"/>
        </w:rPr>
        <w:t>，较年初预算数增加</w:t>
      </w:r>
      <w:r>
        <w:rPr>
          <w:rFonts w:hint="default" w:ascii="Times New Roman" w:hAnsi="Times New Roman" w:eastAsia="方正仿宋_GBK"/>
          <w:bCs/>
          <w:sz w:val="32"/>
          <w:szCs w:val="32"/>
          <w:shd w:val="clear" w:color="auto" w:fill="FFFFFF"/>
        </w:rPr>
        <w:t>139.49</w:t>
      </w:r>
      <w:r>
        <w:rPr>
          <w:rFonts w:ascii="方正仿宋_GBK" w:hAnsi="方正仿宋_GBK" w:eastAsia="方正仿宋_GBK" w:cs="方正仿宋_GBK"/>
          <w:bCs/>
          <w:snapToGrid w:val="0"/>
          <w:sz w:val="32"/>
          <w:szCs w:val="32"/>
          <w:shd w:val="clear" w:color="auto" w:fill="FFFFFF"/>
        </w:rPr>
        <w:t>万元，增长</w:t>
      </w:r>
      <w:r>
        <w:rPr>
          <w:rFonts w:hint="default" w:ascii="Times New Roman" w:hAnsi="Times New Roman" w:eastAsia="方正仿宋_GBK"/>
          <w:bCs/>
          <w:sz w:val="32"/>
          <w:szCs w:val="32"/>
          <w:shd w:val="clear" w:color="auto" w:fill="FFFFFF"/>
        </w:rPr>
        <w:t>3.8%</w:t>
      </w:r>
      <w:r>
        <w:rPr>
          <w:rFonts w:ascii="方正仿宋_GBK" w:hAnsi="方正仿宋_GBK" w:eastAsia="方正仿宋_GBK" w:cs="方正仿宋_GBK"/>
          <w:bCs/>
          <w:snapToGrid w:val="0"/>
          <w:sz w:val="32"/>
          <w:szCs w:val="32"/>
          <w:shd w:val="clear" w:color="auto" w:fill="FFFFFF"/>
        </w:rPr>
        <w:t>，主要原因是追加了离退休人员经费以及社会保障缴费政策性和住房公积金政策性调基。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2</w:t>
      </w:r>
      <w:r>
        <w:rPr>
          <w:rFonts w:ascii="方正仿宋_GBK" w:hAnsi="方正仿宋_GBK" w:eastAsia="方正仿宋_GBK" w:cs="方正仿宋_GBK"/>
          <w:bCs/>
          <w:snapToGrid w:val="0"/>
          <w:sz w:val="32"/>
          <w:szCs w:val="32"/>
          <w:shd w:val="clear" w:color="auto" w:fill="FFFFFF"/>
        </w:rPr>
        <w:t>）卫生健康支出</w:t>
      </w:r>
      <w:r>
        <w:rPr>
          <w:rFonts w:hint="default" w:ascii="Times New Roman" w:hAnsi="Times New Roman" w:eastAsia="方正仿宋_GBK"/>
          <w:bCs/>
          <w:sz w:val="32"/>
          <w:szCs w:val="32"/>
          <w:shd w:val="clear" w:color="auto" w:fill="FFFFFF"/>
        </w:rPr>
        <w:t>274.92</w:t>
      </w:r>
      <w:r>
        <w:rPr>
          <w:rFonts w:ascii="方正仿宋_GBK" w:hAnsi="方正仿宋_GBK" w:eastAsia="方正仿宋_GBK" w:cs="方正仿宋_GBK"/>
          <w:bCs/>
          <w:snapToGrid w:val="0"/>
          <w:sz w:val="32"/>
          <w:szCs w:val="32"/>
          <w:shd w:val="clear" w:color="auto" w:fill="FFFFFF"/>
        </w:rPr>
        <w:t>万元，占</w:t>
      </w:r>
      <w:r>
        <w:rPr>
          <w:rFonts w:hint="default" w:ascii="Times New Roman" w:hAnsi="Times New Roman" w:eastAsia="方正仿宋_GBK"/>
          <w:bCs/>
          <w:sz w:val="32"/>
          <w:szCs w:val="32"/>
          <w:shd w:val="clear" w:color="auto" w:fill="FFFFFF"/>
        </w:rPr>
        <w:t>6.3%</w:t>
      </w:r>
      <w:r>
        <w:rPr>
          <w:rFonts w:ascii="方正仿宋_GBK" w:hAnsi="方正仿宋_GBK" w:eastAsia="方正仿宋_GBK" w:cs="方正仿宋_GBK"/>
          <w:bCs/>
          <w:snapToGrid w:val="0"/>
          <w:sz w:val="32"/>
          <w:szCs w:val="32"/>
          <w:shd w:val="clear" w:color="auto" w:fill="FFFFFF"/>
        </w:rPr>
        <w:t>，较年初预算数减少</w:t>
      </w:r>
      <w:r>
        <w:rPr>
          <w:rFonts w:hint="default" w:ascii="Times New Roman" w:hAnsi="Times New Roman" w:eastAsia="方正仿宋_GBK"/>
          <w:bCs/>
          <w:sz w:val="32"/>
          <w:szCs w:val="32"/>
          <w:shd w:val="clear" w:color="auto" w:fill="FFFFFF"/>
        </w:rPr>
        <w:t>2.68</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1%</w:t>
      </w:r>
      <w:r>
        <w:rPr>
          <w:rFonts w:ascii="方正仿宋_GBK" w:hAnsi="方正仿宋_GBK" w:eastAsia="方正仿宋_GBK" w:cs="方正仿宋_GBK"/>
          <w:bCs/>
          <w:snapToGrid w:val="0"/>
          <w:sz w:val="32"/>
          <w:szCs w:val="32"/>
          <w:shd w:val="clear" w:color="auto" w:fill="FFFFFF"/>
        </w:rPr>
        <w:t>，主要原因是追减了医疗费指标。</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3</w:t>
      </w:r>
      <w:r>
        <w:rPr>
          <w:rFonts w:ascii="方正仿宋_GBK" w:hAnsi="方正仿宋_GBK" w:eastAsia="方正仿宋_GBK" w:cs="方正仿宋_GBK"/>
          <w:bCs/>
          <w:snapToGrid w:val="0"/>
          <w:sz w:val="32"/>
          <w:szCs w:val="32"/>
          <w:shd w:val="clear" w:color="auto" w:fill="FFFFFF"/>
        </w:rPr>
        <w:t>）城乡社区支出</w:t>
      </w:r>
      <w:r>
        <w:rPr>
          <w:rFonts w:hint="default" w:ascii="Times New Roman" w:hAnsi="Times New Roman" w:eastAsia="方正仿宋_GBK"/>
          <w:bCs/>
          <w:sz w:val="32"/>
          <w:szCs w:val="32"/>
          <w:shd w:val="clear" w:color="auto" w:fill="FFFFFF"/>
        </w:rPr>
        <w:t>204.57</w:t>
      </w:r>
      <w:r>
        <w:rPr>
          <w:rFonts w:ascii="方正仿宋_GBK" w:hAnsi="方正仿宋_GBK" w:eastAsia="方正仿宋_GBK" w:cs="方正仿宋_GBK"/>
          <w:bCs/>
          <w:snapToGrid w:val="0"/>
          <w:sz w:val="32"/>
          <w:szCs w:val="32"/>
          <w:shd w:val="clear" w:color="auto" w:fill="FFFFFF"/>
        </w:rPr>
        <w:t>万元，占</w:t>
      </w:r>
      <w:r>
        <w:rPr>
          <w:rFonts w:hint="default" w:ascii="Times New Roman" w:hAnsi="Times New Roman" w:eastAsia="方正仿宋_GBK"/>
          <w:bCs/>
          <w:sz w:val="32"/>
          <w:szCs w:val="32"/>
          <w:shd w:val="clear" w:color="auto" w:fill="FFFFFF"/>
        </w:rPr>
        <w:t>4.7%</w:t>
      </w:r>
      <w:r>
        <w:rPr>
          <w:rFonts w:ascii="方正仿宋_GBK" w:hAnsi="方正仿宋_GBK" w:eastAsia="方正仿宋_GBK" w:cs="方正仿宋_GBK"/>
          <w:bCs/>
          <w:snapToGrid w:val="0"/>
          <w:sz w:val="32"/>
          <w:szCs w:val="32"/>
          <w:shd w:val="clear" w:color="auto" w:fill="FFFFFF"/>
        </w:rPr>
        <w:t>，较年初预算数减少</w:t>
      </w:r>
      <w:r>
        <w:rPr>
          <w:rFonts w:hint="default" w:ascii="Times New Roman" w:hAnsi="Times New Roman" w:eastAsia="方正仿宋_GBK"/>
          <w:bCs/>
          <w:sz w:val="32"/>
          <w:szCs w:val="32"/>
          <w:shd w:val="clear" w:color="auto" w:fill="FFFFFF"/>
        </w:rPr>
        <w:t>24.15</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10.6%</w:t>
      </w:r>
      <w:r>
        <w:rPr>
          <w:rFonts w:ascii="方正仿宋_GBK" w:hAnsi="方正仿宋_GBK" w:eastAsia="方正仿宋_GBK" w:cs="方正仿宋_GBK"/>
          <w:bCs/>
          <w:snapToGrid w:val="0"/>
          <w:sz w:val="32"/>
          <w:szCs w:val="32"/>
          <w:shd w:val="clear" w:color="auto" w:fill="FFFFFF"/>
        </w:rPr>
        <w:t>，主要原因是</w:t>
      </w:r>
      <w:r>
        <w:rPr>
          <w:rFonts w:hint="eastAsia" w:ascii="方正仿宋_GBK" w:hAnsi="方正仿宋_GBK" w:eastAsia="方正仿宋_GBK" w:cs="方正仿宋_GBK"/>
          <w:bCs/>
          <w:snapToGrid w:val="0"/>
          <w:sz w:val="32"/>
          <w:szCs w:val="32"/>
          <w:shd w:val="clear" w:color="auto" w:fill="FFFFFF"/>
          <w:lang w:eastAsia="zh-CN"/>
        </w:rPr>
        <w:t>厉行节约</w:t>
      </w:r>
      <w:r>
        <w:rPr>
          <w:rFonts w:ascii="方正仿宋_GBK" w:hAnsi="方正仿宋_GBK" w:eastAsia="方正仿宋_GBK" w:cs="方正仿宋_GBK"/>
          <w:bCs/>
          <w:snapToGrid w:val="0"/>
          <w:sz w:val="32"/>
          <w:szCs w:val="32"/>
          <w:shd w:val="clear" w:color="auto" w:fill="FFFFFF"/>
        </w:rPr>
        <w:t>，尽量降低日常开销，减少了一般公用支出。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4</w:t>
      </w:r>
      <w:r>
        <w:rPr>
          <w:rFonts w:ascii="方正仿宋_GBK" w:hAnsi="方正仿宋_GBK" w:eastAsia="方正仿宋_GBK" w:cs="方正仿宋_GBK"/>
          <w:bCs/>
          <w:snapToGrid w:val="0"/>
          <w:sz w:val="32"/>
          <w:szCs w:val="32"/>
          <w:shd w:val="clear" w:color="auto" w:fill="FFFFFF"/>
        </w:rPr>
        <w:t>）住房保障支出</w:t>
      </w:r>
      <w:r>
        <w:rPr>
          <w:rFonts w:hint="default" w:ascii="Times New Roman" w:hAnsi="Times New Roman" w:eastAsia="方正仿宋_GBK"/>
          <w:bCs/>
          <w:sz w:val="32"/>
          <w:szCs w:val="32"/>
          <w:shd w:val="clear" w:color="auto" w:fill="FFFFFF"/>
        </w:rPr>
        <w:t>11.60</w:t>
      </w:r>
      <w:r>
        <w:rPr>
          <w:rFonts w:ascii="方正仿宋_GBK" w:hAnsi="方正仿宋_GBK" w:eastAsia="方正仿宋_GBK" w:cs="方正仿宋_GBK"/>
          <w:bCs/>
          <w:snapToGrid w:val="0"/>
          <w:sz w:val="32"/>
          <w:szCs w:val="32"/>
          <w:shd w:val="clear" w:color="auto" w:fill="FFFFFF"/>
        </w:rPr>
        <w:t>万元，占</w:t>
      </w:r>
      <w:r>
        <w:rPr>
          <w:rFonts w:hint="default" w:ascii="Times New Roman" w:hAnsi="Times New Roman" w:eastAsia="方正仿宋_GBK"/>
          <w:bCs/>
          <w:sz w:val="32"/>
          <w:szCs w:val="32"/>
          <w:shd w:val="clear" w:color="auto" w:fill="FFFFFF"/>
        </w:rPr>
        <w:t>0.3%</w:t>
      </w:r>
      <w:r>
        <w:rPr>
          <w:rFonts w:ascii="方正仿宋_GBK" w:hAnsi="方正仿宋_GBK" w:eastAsia="方正仿宋_GBK" w:cs="方正仿宋_GBK"/>
          <w:bCs/>
          <w:snapToGrid w:val="0"/>
          <w:sz w:val="32"/>
          <w:szCs w:val="32"/>
          <w:shd w:val="clear" w:color="auto" w:fill="FFFFFF"/>
        </w:rPr>
        <w:t>，较年初预算数减少</w:t>
      </w:r>
      <w:r>
        <w:rPr>
          <w:rFonts w:hint="default" w:ascii="Times New Roman" w:hAnsi="Times New Roman" w:eastAsia="方正仿宋_GBK"/>
          <w:bCs/>
          <w:sz w:val="32"/>
          <w:szCs w:val="32"/>
          <w:shd w:val="clear" w:color="auto" w:fill="FFFFFF"/>
        </w:rPr>
        <w:t>0.48</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4%</w:t>
      </w:r>
      <w:r>
        <w:rPr>
          <w:rFonts w:ascii="方正仿宋_GBK" w:hAnsi="方正仿宋_GBK" w:eastAsia="方正仿宋_GBK" w:cs="方正仿宋_GBK"/>
          <w:bCs/>
          <w:snapToGrid w:val="0"/>
          <w:sz w:val="32"/>
          <w:szCs w:val="32"/>
          <w:shd w:val="clear" w:color="auto" w:fill="FFFFFF"/>
        </w:rPr>
        <w:t>，主要原因是追减了住房补贴指标。</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（四）一般公共预算财政拨款基本支出决算情况说明</w:t>
      </w:r>
    </w:p>
    <w:p>
      <w:pPr>
        <w:pStyle w:val="2"/>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rPr>
        <w:t>2022</w:t>
      </w:r>
      <w:r>
        <w:rPr>
          <w:rFonts w:ascii="方正仿宋_GBK" w:hAnsi="方正仿宋_GBK" w:eastAsia="方正仿宋_GBK" w:cs="方正仿宋_GBK"/>
          <w:bCs/>
          <w:snapToGrid w:val="0"/>
          <w:sz w:val="32"/>
          <w:szCs w:val="32"/>
        </w:rPr>
        <w:t>年度一般公共预算财政拨款基本支出</w:t>
      </w:r>
      <w:r>
        <w:rPr>
          <w:rFonts w:hint="default" w:ascii="Times New Roman" w:hAnsi="Times New Roman" w:eastAsia="方正仿宋_GBK"/>
          <w:bCs/>
          <w:sz w:val="32"/>
          <w:szCs w:val="32"/>
        </w:rPr>
        <w:t>4,297.35</w:t>
      </w:r>
      <w:r>
        <w:rPr>
          <w:rFonts w:ascii="方正仿宋_GBK" w:hAnsi="方正仿宋_GBK" w:eastAsia="方正仿宋_GBK" w:cs="方正仿宋_GBK"/>
          <w:bCs/>
          <w:snapToGrid w:val="0"/>
          <w:sz w:val="32"/>
          <w:szCs w:val="32"/>
        </w:rPr>
        <w:t>万元。其中：人员经费</w:t>
      </w:r>
      <w:r>
        <w:rPr>
          <w:rFonts w:hint="default" w:ascii="Times New Roman" w:hAnsi="Times New Roman" w:eastAsia="方正仿宋_GBK"/>
          <w:bCs/>
          <w:sz w:val="32"/>
          <w:szCs w:val="32"/>
        </w:rPr>
        <w:t>4,265.47</w:t>
      </w:r>
      <w:r>
        <w:rPr>
          <w:rFonts w:ascii="方正仿宋_GBK" w:hAnsi="方正仿宋_GBK" w:eastAsia="方正仿宋_GBK" w:cs="方正仿宋_GBK"/>
          <w:bCs/>
          <w:snapToGrid w:val="0"/>
          <w:sz w:val="32"/>
          <w:szCs w:val="32"/>
        </w:rPr>
        <w:t>万元，较上年决算数减少</w:t>
      </w:r>
      <w:r>
        <w:rPr>
          <w:rFonts w:hint="default" w:ascii="Times New Roman" w:hAnsi="Times New Roman" w:eastAsia="方正仿宋_GBK"/>
          <w:bCs/>
          <w:sz w:val="32"/>
          <w:szCs w:val="32"/>
        </w:rPr>
        <w:t>108.77</w:t>
      </w:r>
      <w:r>
        <w:rPr>
          <w:rFonts w:ascii="方正仿宋_GBK" w:hAnsi="方正仿宋_GBK" w:eastAsia="方正仿宋_GBK" w:cs="方正仿宋_GBK"/>
          <w:bCs/>
          <w:snapToGrid w:val="0"/>
          <w:sz w:val="32"/>
          <w:szCs w:val="32"/>
        </w:rPr>
        <w:t>万元，下降</w:t>
      </w:r>
      <w:r>
        <w:rPr>
          <w:rFonts w:hint="default" w:ascii="Times New Roman" w:hAnsi="Times New Roman" w:eastAsia="方正仿宋_GBK"/>
          <w:bCs/>
          <w:sz w:val="32"/>
          <w:szCs w:val="32"/>
        </w:rPr>
        <w:t>2.5%</w:t>
      </w:r>
      <w:r>
        <w:rPr>
          <w:rFonts w:ascii="方正仿宋_GBK" w:hAnsi="方正仿宋_GBK" w:eastAsia="方正仿宋_GBK" w:cs="方正仿宋_GBK"/>
          <w:bCs/>
          <w:snapToGrid w:val="0"/>
          <w:sz w:val="32"/>
          <w:szCs w:val="32"/>
        </w:rPr>
        <w:t>，主要原因是一般公用支出</w:t>
      </w:r>
      <w:r>
        <w:rPr>
          <w:rFonts w:ascii="方正仿宋_GBK" w:hAnsi="方正仿宋_GBK" w:eastAsia="方正仿宋_GBK" w:cs="方正仿宋_GBK"/>
          <w:bCs/>
          <w:color w:val="000000" w:themeColor="text1"/>
          <w:sz w:val="32"/>
          <w:szCs w:val="32"/>
          <w14:textFill>
            <w14:solidFill>
              <w14:schemeClr w14:val="tx1"/>
            </w14:solidFill>
          </w14:textFill>
        </w:rPr>
        <w:t>。</w:t>
      </w:r>
      <w:r>
        <w:rPr>
          <w:rFonts w:ascii="方正仿宋_GBK" w:hAnsi="方正仿宋_GBK" w:eastAsia="方正仿宋_GBK" w:cs="方正仿宋_GBK"/>
          <w:bCs/>
          <w:snapToGrid w:val="0"/>
          <w:sz w:val="32"/>
          <w:szCs w:val="32"/>
        </w:rPr>
        <w:t>人员经费用途主要</w:t>
      </w:r>
      <w:r>
        <w:rPr>
          <w:rFonts w:ascii="方正仿宋_GBK" w:hAnsi="方正仿宋_GBK" w:eastAsia="方正仿宋_GBK" w:cs="方正仿宋_GBK"/>
          <w:bCs/>
          <w:sz w:val="32"/>
          <w:szCs w:val="32"/>
        </w:rPr>
        <w:t>包括</w:t>
      </w:r>
      <w:r>
        <w:rPr>
          <w:rFonts w:ascii="方正仿宋_GBK" w:hAnsi="方正仿宋_GBK" w:eastAsia="方正仿宋_GBK" w:cs="方正仿宋_GBK"/>
          <w:bCs/>
          <w:sz w:val="32"/>
          <w:szCs w:val="32"/>
          <w:shd w:val="clear" w:color="auto" w:fill="FFFFFF"/>
        </w:rPr>
        <w:t>包括人员基本工资、津贴补贴、奖金、住房公积金、社会保障缴费等。</w:t>
      </w:r>
      <w:r>
        <w:rPr>
          <w:rFonts w:ascii="方正仿宋_GBK" w:hAnsi="方正仿宋_GBK" w:eastAsia="方正仿宋_GBK" w:cs="方正仿宋_GBK"/>
          <w:bCs/>
          <w:snapToGrid w:val="0"/>
          <w:sz w:val="32"/>
          <w:szCs w:val="32"/>
        </w:rPr>
        <w:t>公用经费</w:t>
      </w:r>
      <w:r>
        <w:rPr>
          <w:rFonts w:hint="default" w:ascii="Times New Roman" w:hAnsi="Times New Roman" w:eastAsia="方正仿宋_GBK"/>
          <w:bCs/>
          <w:sz w:val="32"/>
          <w:szCs w:val="32"/>
        </w:rPr>
        <w:t>31.88</w:t>
      </w:r>
      <w:r>
        <w:rPr>
          <w:rFonts w:ascii="方正仿宋_GBK" w:hAnsi="方正仿宋_GBK" w:eastAsia="方正仿宋_GBK" w:cs="方正仿宋_GBK"/>
          <w:bCs/>
          <w:snapToGrid w:val="0"/>
          <w:sz w:val="32"/>
          <w:szCs w:val="32"/>
        </w:rPr>
        <w:t>万元，较上年决算数减少</w:t>
      </w:r>
      <w:r>
        <w:rPr>
          <w:rFonts w:hint="default" w:ascii="Times New Roman" w:hAnsi="Times New Roman" w:eastAsia="方正仿宋_GBK"/>
          <w:bCs/>
          <w:sz w:val="32"/>
          <w:szCs w:val="32"/>
        </w:rPr>
        <w:t>14.33</w:t>
      </w:r>
      <w:r>
        <w:rPr>
          <w:rFonts w:ascii="方正仿宋_GBK" w:hAnsi="方正仿宋_GBK" w:eastAsia="方正仿宋_GBK" w:cs="方正仿宋_GBK"/>
          <w:bCs/>
          <w:snapToGrid w:val="0"/>
          <w:sz w:val="32"/>
          <w:szCs w:val="32"/>
        </w:rPr>
        <w:t>万元，下降</w:t>
      </w:r>
      <w:r>
        <w:rPr>
          <w:rFonts w:hint="default" w:ascii="Times New Roman" w:hAnsi="Times New Roman" w:eastAsia="方正仿宋_GBK"/>
          <w:bCs/>
          <w:sz w:val="32"/>
          <w:szCs w:val="32"/>
        </w:rPr>
        <w:t>31%</w:t>
      </w:r>
      <w:r>
        <w:rPr>
          <w:rFonts w:ascii="方正仿宋_GBK" w:hAnsi="方正仿宋_GBK" w:eastAsia="方正仿宋_GBK" w:cs="方正仿宋_GBK"/>
          <w:bCs/>
          <w:snapToGrid w:val="0"/>
          <w:sz w:val="32"/>
          <w:szCs w:val="32"/>
        </w:rPr>
        <w:t>，主要原因是一般公用支出减少</w:t>
      </w:r>
      <w:r>
        <w:rPr>
          <w:rFonts w:ascii="方正仿宋_GBK" w:hAnsi="方正仿宋_GBK" w:eastAsia="方正仿宋_GBK" w:cs="方正仿宋_GBK"/>
          <w:bCs/>
          <w:sz w:val="32"/>
          <w:szCs w:val="32"/>
        </w:rPr>
        <w:t>,</w:t>
      </w:r>
      <w:r>
        <w:rPr>
          <w:rFonts w:ascii="方正仿宋_GBK" w:hAnsi="方正仿宋_GBK" w:eastAsia="方正仿宋_GBK" w:cs="方正仿宋_GBK"/>
          <w:bCs/>
          <w:snapToGrid w:val="0"/>
          <w:sz w:val="32"/>
          <w:szCs w:val="32"/>
        </w:rPr>
        <w:t>有离退休人员去世</w:t>
      </w:r>
      <w:r>
        <w:rPr>
          <w:rFonts w:ascii="方正仿宋_GBK" w:hAnsi="方正仿宋_GBK" w:eastAsia="方正仿宋_GBK" w:cs="方正仿宋_GBK"/>
          <w:bCs/>
          <w:sz w:val="32"/>
          <w:szCs w:val="32"/>
        </w:rPr>
        <w:t>,</w:t>
      </w:r>
      <w:r>
        <w:rPr>
          <w:rFonts w:ascii="方正仿宋_GBK" w:hAnsi="方正仿宋_GBK" w:eastAsia="方正仿宋_GBK" w:cs="方正仿宋_GBK"/>
          <w:bCs/>
          <w:snapToGrid w:val="0"/>
          <w:sz w:val="32"/>
          <w:szCs w:val="32"/>
        </w:rPr>
        <w:t>离退休人员费用减少。公用经费用途主要包括</w:t>
      </w:r>
      <w:r>
        <w:rPr>
          <w:rFonts w:ascii="方正仿宋_GBK" w:hAnsi="方正仿宋_GBK" w:eastAsia="方正仿宋_GBK" w:cs="方正仿宋_GBK"/>
          <w:bCs/>
          <w:sz w:val="32"/>
          <w:szCs w:val="32"/>
          <w:shd w:val="clear" w:color="auto" w:fill="FFFFFF"/>
        </w:rPr>
        <w:t>办公费、印刷费、手续费、水费、电费、物业管理费、差旅费、维修（护）费、租赁费、公务用车运行维护费。</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（五）政府性基金预算收支决算情况说明。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本部门</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z w:val="32"/>
          <w:szCs w:val="32"/>
          <w:shd w:val="clear" w:color="auto" w:fill="FFFFFF"/>
        </w:rPr>
        <w:t>年度无政府性基金预算财政拨款收支。</w:t>
      </w:r>
    </w:p>
    <w:p>
      <w:pPr>
        <w:pStyle w:val="2"/>
        <w:shd w:val="clear" w:color="auto" w:fill="FFFFFF"/>
        <w:snapToGrid w:val="0"/>
        <w:spacing w:beforeAutospacing="0" w:afterAutospacing="0" w:line="560" w:lineRule="exact"/>
        <w:ind w:firstLine="640" w:firstLineChars="200"/>
        <w:rPr>
          <w:rFonts w:hint="default" w:ascii="方正楷体_GBK" w:hAnsi="方正楷体_GBK" w:eastAsia="方正楷体_GBK" w:cs="方正楷体_GBK"/>
          <w:bCs/>
          <w:sz w:val="32"/>
          <w:szCs w:val="32"/>
        </w:rPr>
      </w:pPr>
      <w:r>
        <w:rPr>
          <w:rStyle w:val="5"/>
          <w:rFonts w:ascii="方正楷体_GBK" w:hAnsi="方正楷体_GBK" w:eastAsia="方正楷体_GBK" w:cs="方正楷体_GBK"/>
          <w:b w:val="0"/>
          <w:bCs/>
          <w:sz w:val="32"/>
          <w:szCs w:val="32"/>
          <w:shd w:val="clear" w:color="auto" w:fill="FFFFFF"/>
        </w:rPr>
        <w:t>（六）国有资本经营预算财政拨款支出决算情况说明。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本部门</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z w:val="32"/>
          <w:szCs w:val="32"/>
          <w:shd w:val="clear" w:color="auto" w:fill="FFFFFF"/>
        </w:rPr>
        <w:t>年度无国有资本经营预算财政拨款支出。</w:t>
      </w:r>
    </w:p>
    <w:p>
      <w:pPr>
        <w:pStyle w:val="2"/>
        <w:shd w:val="clear" w:color="auto" w:fill="FFFFFF"/>
        <w:snapToGrid w:val="0"/>
        <w:spacing w:beforeAutospacing="0" w:afterAutospacing="0" w:line="560" w:lineRule="exact"/>
        <w:ind w:firstLine="640" w:firstLineChars="200"/>
        <w:rPr>
          <w:rFonts w:hint="default" w:ascii="方正黑体_GBK" w:hAnsi="方正黑体_GBK" w:eastAsia="方正黑体_GBK" w:cs="方正黑体_GBK"/>
          <w:bCs/>
          <w:sz w:val="32"/>
          <w:szCs w:val="32"/>
        </w:rPr>
      </w:pPr>
      <w:r>
        <w:rPr>
          <w:rStyle w:val="5"/>
          <w:rFonts w:ascii="方正黑体_GBK" w:hAnsi="方正黑体_GBK" w:eastAsia="方正黑体_GBK" w:cs="方正黑体_GBK"/>
          <w:b w:val="0"/>
          <w:bCs/>
          <w:sz w:val="32"/>
          <w:szCs w:val="32"/>
          <w:shd w:val="clear" w:color="auto" w:fill="FFFFFF"/>
        </w:rPr>
        <w:t>三、“三公”经费情况说明</w:t>
      </w:r>
    </w:p>
    <w:p>
      <w:pPr>
        <w:pStyle w:val="2"/>
        <w:shd w:val="clear" w:color="auto" w:fill="FFFFFF"/>
        <w:snapToGrid w:val="0"/>
        <w:spacing w:beforeAutospacing="0" w:afterAutospacing="0" w:line="560" w:lineRule="exact"/>
        <w:ind w:firstLine="640" w:firstLineChars="200"/>
        <w:rPr>
          <w:rFonts w:hint="default" w:ascii="方正楷体_GBK" w:hAnsi="方正楷体_GBK" w:eastAsia="方正楷体_GBK" w:cs="方正楷体_GBK"/>
          <w:bCs/>
          <w:sz w:val="32"/>
          <w:szCs w:val="32"/>
        </w:rPr>
      </w:pPr>
      <w:r>
        <w:rPr>
          <w:rStyle w:val="5"/>
          <w:rFonts w:ascii="方正楷体_GBK" w:hAnsi="方正楷体_GBK" w:eastAsia="方正楷体_GBK" w:cs="方正楷体_GBK"/>
          <w:b w:val="0"/>
          <w:bCs/>
          <w:sz w:val="32"/>
          <w:szCs w:val="32"/>
          <w:shd w:val="clear" w:color="auto" w:fill="FFFFFF"/>
        </w:rPr>
        <w:t>（一）“三公”经费支出总体情况说明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三公</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经费支出共计</w:t>
      </w:r>
      <w:r>
        <w:rPr>
          <w:rFonts w:hint="default" w:ascii="Times New Roman" w:hAnsi="Times New Roman" w:eastAsia="方正仿宋_GBK"/>
          <w:bCs/>
          <w:sz w:val="32"/>
          <w:szCs w:val="32"/>
          <w:shd w:val="clear" w:color="auto" w:fill="FFFFFF"/>
        </w:rPr>
        <w:t>1.52</w:t>
      </w:r>
      <w:r>
        <w:rPr>
          <w:rFonts w:ascii="方正仿宋_GBK" w:hAnsi="方正仿宋_GBK" w:eastAsia="方正仿宋_GBK" w:cs="方正仿宋_GBK"/>
          <w:bCs/>
          <w:snapToGrid w:val="0"/>
          <w:sz w:val="32"/>
          <w:szCs w:val="32"/>
          <w:shd w:val="clear" w:color="auto" w:fill="FFFFFF"/>
        </w:rPr>
        <w:t>万元，较年初预算数减少</w:t>
      </w:r>
      <w:r>
        <w:rPr>
          <w:rFonts w:hint="default" w:ascii="Times New Roman" w:hAnsi="Times New Roman" w:eastAsia="方正仿宋_GBK"/>
          <w:bCs/>
          <w:sz w:val="32"/>
          <w:szCs w:val="32"/>
          <w:shd w:val="clear" w:color="auto" w:fill="FFFFFF"/>
        </w:rPr>
        <w:t>1.48</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49.3%</w:t>
      </w:r>
      <w:r>
        <w:rPr>
          <w:rFonts w:ascii="方正仿宋_GBK" w:hAnsi="方正仿宋_GBK" w:eastAsia="方正仿宋_GBK" w:cs="方正仿宋_GBK"/>
          <w:bCs/>
          <w:snapToGrid w:val="0"/>
          <w:sz w:val="32"/>
          <w:szCs w:val="32"/>
          <w:shd w:val="clear" w:color="auto" w:fill="FFFFFF"/>
        </w:rPr>
        <w:t>，主要原因是</w:t>
      </w:r>
      <w:r>
        <w:rPr>
          <w:rFonts w:hint="eastAsia" w:ascii="方正仿宋_GBK" w:hAnsi="方正仿宋_GBK" w:eastAsia="方正仿宋_GBK" w:cs="方正仿宋_GBK"/>
          <w:bCs/>
          <w:snapToGrid w:val="0"/>
          <w:sz w:val="32"/>
          <w:szCs w:val="32"/>
          <w:shd w:val="clear" w:color="auto" w:fill="FFFFFF"/>
          <w:lang w:eastAsia="zh-CN"/>
        </w:rPr>
        <w:t>厉行节约</w:t>
      </w:r>
      <w:r>
        <w:rPr>
          <w:rFonts w:ascii="方正仿宋_GBK" w:hAnsi="方正仿宋_GBK" w:eastAsia="方正仿宋_GBK" w:cs="方正仿宋_GBK"/>
          <w:bCs/>
          <w:snapToGrid w:val="0"/>
          <w:sz w:val="32"/>
          <w:szCs w:val="32"/>
          <w:shd w:val="clear" w:color="auto" w:fill="FFFFFF"/>
        </w:rPr>
        <w:t>，减少不必要三</w:t>
      </w:r>
      <w:r>
        <w:rPr>
          <w:rFonts w:ascii="方正仿宋_GBK" w:hAnsi="方正仿宋_GBK" w:eastAsia="方正仿宋_GBK" w:cs="方正仿宋_GBK"/>
          <w:bCs/>
          <w:sz w:val="32"/>
          <w:szCs w:val="32"/>
          <w:shd w:val="clear" w:color="auto" w:fill="FFFFFF"/>
        </w:rPr>
        <w:t>公经费</w:t>
      </w:r>
      <w:r>
        <w:rPr>
          <w:rFonts w:ascii="方正仿宋_GBK" w:hAnsi="方正仿宋_GBK" w:eastAsia="方正仿宋_GBK" w:cs="方正仿宋_GBK"/>
          <w:bCs/>
          <w:snapToGrid w:val="0"/>
          <w:sz w:val="32"/>
          <w:szCs w:val="32"/>
          <w:shd w:val="clear" w:color="auto" w:fill="FFFFFF"/>
        </w:rPr>
        <w:t>支出。较上年支出数减少</w:t>
      </w:r>
      <w:r>
        <w:rPr>
          <w:rFonts w:hint="default" w:ascii="Times New Roman" w:hAnsi="Times New Roman" w:eastAsia="方正仿宋_GBK"/>
          <w:bCs/>
          <w:sz w:val="32"/>
          <w:szCs w:val="32"/>
          <w:shd w:val="clear" w:color="auto" w:fill="FFFFFF"/>
        </w:rPr>
        <w:t>0.34</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18.3%</w:t>
      </w:r>
      <w:r>
        <w:rPr>
          <w:rFonts w:ascii="方正仿宋_GBK" w:hAnsi="方正仿宋_GBK" w:eastAsia="方正仿宋_GBK" w:cs="方正仿宋_GBK"/>
          <w:bCs/>
          <w:snapToGrid w:val="0"/>
          <w:sz w:val="32"/>
          <w:szCs w:val="32"/>
          <w:shd w:val="clear" w:color="auto" w:fill="FFFFFF"/>
        </w:rPr>
        <w:t>，主要原因是</w:t>
      </w:r>
      <w:r>
        <w:rPr>
          <w:rFonts w:hint="eastAsia" w:ascii="方正仿宋_GBK" w:hAnsi="方正仿宋_GBK" w:eastAsia="方正仿宋_GBK" w:cs="方正仿宋_GBK"/>
          <w:bCs/>
          <w:snapToGrid w:val="0"/>
          <w:sz w:val="32"/>
          <w:szCs w:val="32"/>
          <w:shd w:val="clear" w:color="auto" w:fill="FFFFFF"/>
          <w:lang w:eastAsia="zh-CN"/>
        </w:rPr>
        <w:t>厉行节约</w:t>
      </w:r>
      <w:r>
        <w:rPr>
          <w:rFonts w:ascii="方正仿宋_GBK" w:hAnsi="方正仿宋_GBK" w:eastAsia="方正仿宋_GBK" w:cs="方正仿宋_GBK"/>
          <w:bCs/>
          <w:snapToGrid w:val="0"/>
          <w:sz w:val="32"/>
          <w:szCs w:val="32"/>
          <w:shd w:val="clear" w:color="auto" w:fill="FFFFFF"/>
        </w:rPr>
        <w:t>，减少不必要三</w:t>
      </w:r>
      <w:r>
        <w:rPr>
          <w:rFonts w:ascii="方正仿宋_GBK" w:hAnsi="方正仿宋_GBK" w:eastAsia="方正仿宋_GBK" w:cs="方正仿宋_GBK"/>
          <w:bCs/>
          <w:sz w:val="32"/>
          <w:szCs w:val="32"/>
          <w:shd w:val="clear" w:color="auto" w:fill="FFFFFF"/>
        </w:rPr>
        <w:t>公经费</w:t>
      </w:r>
      <w:r>
        <w:rPr>
          <w:rFonts w:ascii="方正仿宋_GBK" w:hAnsi="方正仿宋_GBK" w:eastAsia="方正仿宋_GBK" w:cs="方正仿宋_GBK"/>
          <w:bCs/>
          <w:snapToGrid w:val="0"/>
          <w:sz w:val="32"/>
          <w:szCs w:val="32"/>
          <w:shd w:val="clear" w:color="auto" w:fill="FFFFFF"/>
        </w:rPr>
        <w:t>支出。</w:t>
      </w:r>
    </w:p>
    <w:p>
      <w:pPr>
        <w:pStyle w:val="2"/>
        <w:shd w:val="clear" w:color="auto" w:fill="FFFFFF"/>
        <w:snapToGrid w:val="0"/>
        <w:spacing w:beforeAutospacing="0" w:afterAutospacing="0" w:line="560" w:lineRule="exact"/>
        <w:ind w:firstLine="640" w:firstLineChars="200"/>
        <w:rPr>
          <w:rFonts w:hint="default" w:ascii="方正楷体_GBK" w:hAnsi="方正楷体_GBK" w:eastAsia="方正楷体_GBK" w:cs="方正楷体_GBK"/>
          <w:bCs/>
          <w:sz w:val="32"/>
          <w:szCs w:val="32"/>
        </w:rPr>
      </w:pPr>
      <w:r>
        <w:rPr>
          <w:rStyle w:val="5"/>
          <w:rFonts w:ascii="方正楷体_GBK" w:hAnsi="方正楷体_GBK" w:eastAsia="方正楷体_GBK" w:cs="方正楷体_GBK"/>
          <w:b w:val="0"/>
          <w:bCs/>
          <w:sz w:val="32"/>
          <w:szCs w:val="32"/>
          <w:shd w:val="clear" w:color="auto" w:fill="FFFFFF"/>
        </w:rPr>
        <w:t>（二）“三公”经费分项支出情况</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Fonts w:hint="default" w:ascii="Times New Roman" w:hAnsi="Times New Roman" w:eastAsia="方正仿宋_GBK"/>
          <w:bCs/>
          <w:sz w:val="32"/>
          <w:szCs w:val="32"/>
          <w:shd w:val="clear" w:color="auto" w:fill="FFFFFF"/>
        </w:rPr>
        <w:t>2021</w:t>
      </w:r>
      <w:r>
        <w:rPr>
          <w:rFonts w:ascii="方正仿宋_GBK" w:hAnsi="方正仿宋_GBK" w:eastAsia="方正仿宋_GBK" w:cs="方正仿宋_GBK"/>
          <w:bCs/>
          <w:snapToGrid w:val="0"/>
          <w:sz w:val="32"/>
          <w:szCs w:val="32"/>
          <w:shd w:val="clear" w:color="auto" w:fill="FFFFFF"/>
        </w:rPr>
        <w:t>年度本单位未发生因公出国（境）支出。费用支出较年初预算数持平，较上年据决算数持平。</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napToGrid w:val="0"/>
          <w:sz w:val="32"/>
          <w:szCs w:val="32"/>
          <w:shd w:val="clear" w:color="auto" w:fill="FFFFFF"/>
        </w:rPr>
        <w:t>本单位</w:t>
      </w:r>
      <w:r>
        <w:rPr>
          <w:rFonts w:hint="default" w:ascii="Times New Roman" w:hAnsi="Times New Roman" w:eastAsia="方正仿宋_GBK"/>
          <w:bCs/>
          <w:sz w:val="32"/>
          <w:szCs w:val="32"/>
          <w:shd w:val="clear" w:color="auto" w:fill="FFFFFF"/>
        </w:rPr>
        <w:t>2021</w:t>
      </w:r>
      <w:r>
        <w:rPr>
          <w:rFonts w:ascii="方正仿宋_GBK" w:hAnsi="方正仿宋_GBK" w:eastAsia="方正仿宋_GBK" w:cs="方正仿宋_GBK"/>
          <w:bCs/>
          <w:snapToGrid w:val="0"/>
          <w:sz w:val="32"/>
          <w:szCs w:val="32"/>
          <w:shd w:val="clear" w:color="auto" w:fill="FFFFFF"/>
        </w:rPr>
        <w:t>年未发生公务车购置支出。费用支出较年初预算数持平，较上年支出数持平。</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napToGrid w:val="0"/>
          <w:sz w:val="32"/>
          <w:szCs w:val="32"/>
          <w:shd w:val="clear" w:color="auto" w:fill="FFFFFF"/>
        </w:rPr>
        <w:t>公务车运行维护费</w:t>
      </w:r>
      <w:r>
        <w:rPr>
          <w:rFonts w:hint="default" w:ascii="Times New Roman" w:hAnsi="Times New Roman" w:eastAsia="方正仿宋_GBK"/>
          <w:bCs/>
          <w:sz w:val="32"/>
          <w:szCs w:val="32"/>
          <w:shd w:val="clear" w:color="auto" w:fill="FFFFFF"/>
        </w:rPr>
        <w:t>1.52</w:t>
      </w:r>
      <w:r>
        <w:rPr>
          <w:rFonts w:ascii="方正仿宋_GBK" w:hAnsi="方正仿宋_GBK" w:eastAsia="方正仿宋_GBK" w:cs="方正仿宋_GBK"/>
          <w:bCs/>
          <w:snapToGrid w:val="0"/>
          <w:sz w:val="32"/>
          <w:szCs w:val="32"/>
          <w:shd w:val="clear" w:color="auto" w:fill="FFFFFF"/>
        </w:rPr>
        <w:t>万元，主要用于公务用车的日常维护：停车费，加邮费，过路费，保险费，洗车费，邮费等。费用支出较年初预算数减少</w:t>
      </w:r>
      <w:r>
        <w:rPr>
          <w:rFonts w:hint="default" w:ascii="Times New Roman" w:hAnsi="Times New Roman" w:eastAsia="方正仿宋_GBK"/>
          <w:bCs/>
          <w:sz w:val="32"/>
          <w:szCs w:val="32"/>
          <w:shd w:val="clear" w:color="auto" w:fill="FFFFFF"/>
        </w:rPr>
        <w:t>1.48</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49.3%</w:t>
      </w:r>
      <w:r>
        <w:rPr>
          <w:rFonts w:ascii="方正仿宋_GBK" w:hAnsi="方正仿宋_GBK" w:eastAsia="方正仿宋_GBK" w:cs="方正仿宋_GBK"/>
          <w:bCs/>
          <w:snapToGrid w:val="0"/>
          <w:sz w:val="32"/>
          <w:szCs w:val="32"/>
          <w:shd w:val="clear" w:color="auto" w:fill="FFFFFF"/>
        </w:rPr>
        <w:t>，主要原因是</w:t>
      </w:r>
      <w:r>
        <w:rPr>
          <w:rFonts w:hint="eastAsia" w:ascii="方正仿宋_GBK" w:hAnsi="方正仿宋_GBK" w:eastAsia="方正仿宋_GBK" w:cs="方正仿宋_GBK"/>
          <w:bCs/>
          <w:snapToGrid w:val="0"/>
          <w:sz w:val="32"/>
          <w:szCs w:val="32"/>
          <w:shd w:val="clear" w:color="auto" w:fill="FFFFFF"/>
          <w:lang w:eastAsia="zh-CN"/>
        </w:rPr>
        <w:t>厉行节约</w:t>
      </w:r>
      <w:r>
        <w:rPr>
          <w:rFonts w:ascii="方正仿宋_GBK" w:hAnsi="方正仿宋_GBK" w:eastAsia="方正仿宋_GBK" w:cs="方正仿宋_GBK"/>
          <w:bCs/>
          <w:snapToGrid w:val="0"/>
          <w:sz w:val="32"/>
          <w:szCs w:val="32"/>
          <w:shd w:val="clear" w:color="auto" w:fill="FFFFFF"/>
        </w:rPr>
        <w:t>，减少公务用车的使用频率。较上年支出数减少</w:t>
      </w:r>
      <w:r>
        <w:rPr>
          <w:rFonts w:hint="default" w:ascii="Times New Roman" w:hAnsi="Times New Roman" w:eastAsia="方正仿宋_GBK"/>
          <w:bCs/>
          <w:sz w:val="32"/>
          <w:szCs w:val="32"/>
          <w:shd w:val="clear" w:color="auto" w:fill="FFFFFF"/>
        </w:rPr>
        <w:t>0.34</w:t>
      </w:r>
      <w:r>
        <w:rPr>
          <w:rFonts w:ascii="方正仿宋_GBK" w:hAnsi="方正仿宋_GBK" w:eastAsia="方正仿宋_GBK" w:cs="方正仿宋_GBK"/>
          <w:bCs/>
          <w:snapToGrid w:val="0"/>
          <w:sz w:val="32"/>
          <w:szCs w:val="32"/>
          <w:shd w:val="clear" w:color="auto" w:fill="FFFFFF"/>
        </w:rPr>
        <w:t>万元，下降</w:t>
      </w:r>
      <w:r>
        <w:rPr>
          <w:rFonts w:hint="default" w:ascii="Times New Roman" w:hAnsi="Times New Roman" w:eastAsia="方正仿宋_GBK"/>
          <w:bCs/>
          <w:sz w:val="32"/>
          <w:szCs w:val="32"/>
          <w:shd w:val="clear" w:color="auto" w:fill="FFFFFF"/>
        </w:rPr>
        <w:t>18.3%</w:t>
      </w:r>
      <w:r>
        <w:rPr>
          <w:rFonts w:ascii="方正仿宋_GBK" w:hAnsi="方正仿宋_GBK" w:eastAsia="方正仿宋_GBK" w:cs="方正仿宋_GBK"/>
          <w:bCs/>
          <w:snapToGrid w:val="0"/>
          <w:sz w:val="32"/>
          <w:szCs w:val="32"/>
          <w:shd w:val="clear" w:color="auto" w:fill="FFFFFF"/>
        </w:rPr>
        <w:t>，主要原因是减少了公务用车频率，降低了损耗，维修费降低。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napToGrid w:val="0"/>
          <w:sz w:val="32"/>
          <w:szCs w:val="32"/>
          <w:shd w:val="clear" w:color="auto" w:fill="FFFFFF"/>
        </w:rPr>
        <w:t>本单位</w:t>
      </w:r>
      <w:r>
        <w:rPr>
          <w:rFonts w:hint="default" w:ascii="Times New Roman" w:hAnsi="Times New Roman" w:eastAsia="方正仿宋_GBK"/>
          <w:bCs/>
          <w:sz w:val="32"/>
          <w:szCs w:val="32"/>
          <w:shd w:val="clear" w:color="auto" w:fill="FFFFFF"/>
        </w:rPr>
        <w:t>2021</w:t>
      </w:r>
      <w:r>
        <w:rPr>
          <w:rFonts w:ascii="方正仿宋_GBK" w:hAnsi="方正仿宋_GBK" w:eastAsia="方正仿宋_GBK" w:cs="方正仿宋_GBK"/>
          <w:bCs/>
          <w:snapToGrid w:val="0"/>
          <w:sz w:val="32"/>
          <w:szCs w:val="32"/>
          <w:shd w:val="clear" w:color="auto" w:fill="FFFFFF"/>
        </w:rPr>
        <w:t>年未发生公务接待费用支出。费用支出较年初预算数持平，较上年支出数持平。</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（三）“三公”经费实物量情况</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年度本部门因公出国（境）共计</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个团组，</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人；公务用车购置</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辆，公务车保有量为</w:t>
      </w:r>
      <w:r>
        <w:rPr>
          <w:rFonts w:hint="default" w:ascii="Times New Roman" w:hAnsi="Times New Roman" w:eastAsia="方正仿宋_GBK"/>
          <w:bCs/>
          <w:sz w:val="32"/>
          <w:szCs w:val="32"/>
          <w:shd w:val="clear" w:color="auto" w:fill="FFFFFF"/>
        </w:rPr>
        <w:t>1</w:t>
      </w:r>
      <w:r>
        <w:rPr>
          <w:rFonts w:ascii="方正仿宋_GBK" w:hAnsi="方正仿宋_GBK" w:eastAsia="方正仿宋_GBK" w:cs="方正仿宋_GBK"/>
          <w:bCs/>
          <w:snapToGrid w:val="0"/>
          <w:sz w:val="32"/>
          <w:szCs w:val="32"/>
          <w:shd w:val="clear" w:color="auto" w:fill="FFFFFF"/>
        </w:rPr>
        <w:t>辆；国内公务接待</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批次</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人，其中：国内外事接待</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批次，</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人；国（境）外公务接待</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批次，</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人。</w:t>
      </w:r>
      <w:r>
        <w:rPr>
          <w:rFonts w:ascii="方正仿宋_GBK" w:hAnsi="方正仿宋_GBK" w:eastAsia="方正仿宋_GBK" w:cs="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年本部门人均接待费</w:t>
      </w:r>
      <w:r>
        <w:rPr>
          <w:rFonts w:hint="default" w:ascii="Times New Roman" w:hAnsi="Times New Roman" w:eastAsia="方正仿宋_GBK"/>
          <w:bCs/>
          <w:sz w:val="32"/>
          <w:szCs w:val="32"/>
          <w:shd w:val="clear" w:color="auto" w:fill="FFFFFF"/>
        </w:rPr>
        <w:t>0.00</w:t>
      </w:r>
      <w:r>
        <w:rPr>
          <w:rFonts w:ascii="方正仿宋_GBK" w:hAnsi="方正仿宋_GBK" w:eastAsia="方正仿宋_GBK" w:cs="方正仿宋_GBK"/>
          <w:bCs/>
          <w:snapToGrid w:val="0"/>
          <w:sz w:val="32"/>
          <w:szCs w:val="32"/>
          <w:shd w:val="clear" w:color="auto" w:fill="FFFFFF"/>
        </w:rPr>
        <w:t>元，车均购置费</w:t>
      </w:r>
      <w:r>
        <w:rPr>
          <w:rFonts w:hint="default" w:ascii="Times New Roman" w:hAnsi="Times New Roman" w:eastAsia="方正仿宋_GBK"/>
          <w:bCs/>
          <w:sz w:val="32"/>
          <w:szCs w:val="32"/>
          <w:shd w:val="clear" w:color="auto" w:fill="FFFFFF"/>
        </w:rPr>
        <w:t>0.00</w:t>
      </w:r>
      <w:r>
        <w:rPr>
          <w:rFonts w:ascii="方正仿宋_GBK" w:hAnsi="方正仿宋_GBK" w:eastAsia="方正仿宋_GBK" w:cs="方正仿宋_GBK"/>
          <w:bCs/>
          <w:snapToGrid w:val="0"/>
          <w:sz w:val="32"/>
          <w:szCs w:val="32"/>
          <w:shd w:val="clear" w:color="auto" w:fill="FFFFFF"/>
        </w:rPr>
        <w:t>万元，车均维护费</w:t>
      </w:r>
      <w:r>
        <w:rPr>
          <w:rFonts w:hint="default" w:ascii="Times New Roman" w:hAnsi="Times New Roman" w:eastAsia="方正仿宋_GBK"/>
          <w:bCs/>
          <w:sz w:val="32"/>
          <w:szCs w:val="32"/>
          <w:shd w:val="clear" w:color="auto" w:fill="FFFFFF"/>
        </w:rPr>
        <w:t>1.52</w:t>
      </w:r>
      <w:r>
        <w:rPr>
          <w:rFonts w:ascii="方正仿宋_GBK" w:hAnsi="方正仿宋_GBK" w:eastAsia="方正仿宋_GBK" w:cs="方正仿宋_GBK"/>
          <w:bCs/>
          <w:snapToGrid w:val="0"/>
          <w:sz w:val="32"/>
          <w:szCs w:val="32"/>
          <w:shd w:val="clear" w:color="auto" w:fill="FFFFFF"/>
        </w:rPr>
        <w:t>万元。</w:t>
      </w:r>
    </w:p>
    <w:p>
      <w:pPr>
        <w:pStyle w:val="2"/>
        <w:shd w:val="clear" w:color="auto" w:fill="FFFFFF"/>
        <w:snapToGrid w:val="0"/>
        <w:spacing w:beforeAutospacing="0" w:afterAutospacing="0" w:line="560" w:lineRule="exact"/>
        <w:ind w:firstLine="640" w:firstLineChars="200"/>
        <w:rPr>
          <w:rFonts w:hint="default" w:ascii="方正黑体_GBK" w:hAnsi="方正黑体_GBK" w:eastAsia="方正黑体_GBK" w:cs="方正黑体_GBK"/>
          <w:bCs/>
          <w:sz w:val="32"/>
          <w:szCs w:val="32"/>
        </w:rPr>
      </w:pPr>
      <w:r>
        <w:rPr>
          <w:rStyle w:val="5"/>
          <w:rFonts w:ascii="方正黑体_GBK" w:hAnsi="方正黑体_GBK" w:eastAsia="方正黑体_GBK" w:cs="方正黑体_GBK"/>
          <w:b w:val="0"/>
          <w:bCs/>
          <w:sz w:val="32"/>
          <w:szCs w:val="32"/>
          <w:shd w:val="clear" w:color="auto" w:fill="FFFFFF"/>
        </w:rPr>
        <w:t>四、其他需要说明的事项</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（一）财政拨款会议费和培训费情况说明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napToGrid w:val="0"/>
          <w:sz w:val="32"/>
          <w:szCs w:val="32"/>
          <w:shd w:val="clear" w:color="auto" w:fill="FFFFFF"/>
        </w:rPr>
        <w:t>本年度会议费支出</w:t>
      </w:r>
      <w:r>
        <w:rPr>
          <w:rFonts w:hint="default" w:ascii="Times New Roman" w:hAnsi="Times New Roman" w:eastAsia="方正仿宋_GBK"/>
          <w:bCs/>
          <w:sz w:val="32"/>
          <w:szCs w:val="32"/>
          <w:shd w:val="clear" w:color="auto" w:fill="FFFFFF"/>
        </w:rPr>
        <w:t>0.50</w:t>
      </w:r>
      <w:r>
        <w:rPr>
          <w:rFonts w:ascii="方正仿宋_GBK" w:hAnsi="方正仿宋_GBK" w:eastAsia="方正仿宋_GBK" w:cs="方正仿宋_GBK"/>
          <w:bCs/>
          <w:snapToGrid w:val="0"/>
          <w:sz w:val="32"/>
          <w:szCs w:val="32"/>
          <w:shd w:val="clear" w:color="auto" w:fill="FFFFFF"/>
        </w:rPr>
        <w:t>万元，较上年决算数增加</w:t>
      </w:r>
      <w:r>
        <w:rPr>
          <w:rFonts w:hint="default" w:ascii="Times New Roman" w:hAnsi="Times New Roman" w:eastAsia="方正仿宋_GBK"/>
          <w:bCs/>
          <w:sz w:val="32"/>
          <w:szCs w:val="32"/>
          <w:shd w:val="clear" w:color="auto" w:fill="FFFFFF"/>
        </w:rPr>
        <w:t>0.50</w:t>
      </w:r>
      <w:r>
        <w:rPr>
          <w:rFonts w:ascii="方正仿宋_GBK" w:hAnsi="方正仿宋_GBK" w:eastAsia="方正仿宋_GBK" w:cs="方正仿宋_GBK"/>
          <w:bCs/>
          <w:snapToGrid w:val="0"/>
          <w:sz w:val="32"/>
          <w:szCs w:val="32"/>
          <w:shd w:val="clear" w:color="auto" w:fill="FFFFFF"/>
        </w:rPr>
        <w:t>万元，增长</w:t>
      </w:r>
      <w:r>
        <w:rPr>
          <w:rFonts w:hint="default" w:ascii="Times New Roman" w:hAnsi="Times New Roman" w:eastAsia="方正仿宋_GBK"/>
          <w:bCs/>
          <w:sz w:val="32"/>
          <w:szCs w:val="32"/>
          <w:shd w:val="clear" w:color="auto" w:fill="FFFFFF"/>
        </w:rPr>
        <w:t>100%</w:t>
      </w:r>
      <w:r>
        <w:rPr>
          <w:rFonts w:ascii="方正仿宋_GBK" w:hAnsi="方正仿宋_GBK" w:eastAsia="方正仿宋_GBK" w:cs="方正仿宋_GBK"/>
          <w:bCs/>
          <w:snapToGrid w:val="0"/>
          <w:sz w:val="32"/>
          <w:szCs w:val="32"/>
          <w:shd w:val="clear" w:color="auto" w:fill="FFFFFF"/>
        </w:rPr>
        <w:t>，主要原因是上年度为发生会议支出。本年度培训费支出</w:t>
      </w:r>
      <w:r>
        <w:rPr>
          <w:rFonts w:hint="default" w:ascii="Times New Roman" w:hAnsi="Times New Roman" w:eastAsia="方正仿宋_GBK"/>
          <w:bCs/>
          <w:sz w:val="32"/>
          <w:szCs w:val="32"/>
          <w:shd w:val="clear" w:color="auto" w:fill="FFFFFF"/>
        </w:rPr>
        <w:t>0.98</w:t>
      </w:r>
      <w:r>
        <w:rPr>
          <w:rFonts w:ascii="方正仿宋_GBK" w:hAnsi="方正仿宋_GBK" w:eastAsia="方正仿宋_GBK" w:cs="方正仿宋_GBK"/>
          <w:bCs/>
          <w:snapToGrid w:val="0"/>
          <w:sz w:val="32"/>
          <w:szCs w:val="32"/>
          <w:shd w:val="clear" w:color="auto" w:fill="FFFFFF"/>
        </w:rPr>
        <w:t>万元，较上年决算数增加</w:t>
      </w:r>
      <w:r>
        <w:rPr>
          <w:rFonts w:hint="default" w:ascii="Times New Roman" w:hAnsi="Times New Roman" w:eastAsia="方正仿宋_GBK"/>
          <w:bCs/>
          <w:sz w:val="32"/>
          <w:szCs w:val="32"/>
          <w:shd w:val="clear" w:color="auto" w:fill="FFFFFF"/>
        </w:rPr>
        <w:t>0.64</w:t>
      </w:r>
      <w:r>
        <w:rPr>
          <w:rFonts w:ascii="方正仿宋_GBK" w:hAnsi="方正仿宋_GBK" w:eastAsia="方正仿宋_GBK" w:cs="方正仿宋_GBK"/>
          <w:bCs/>
          <w:snapToGrid w:val="0"/>
          <w:sz w:val="32"/>
          <w:szCs w:val="32"/>
          <w:shd w:val="clear" w:color="auto" w:fill="FFFFFF"/>
        </w:rPr>
        <w:t>万元，增长</w:t>
      </w:r>
      <w:r>
        <w:rPr>
          <w:rFonts w:hint="default" w:ascii="Times New Roman" w:hAnsi="Times New Roman" w:eastAsia="方正仿宋_GBK"/>
          <w:bCs/>
          <w:sz w:val="32"/>
          <w:szCs w:val="32"/>
          <w:shd w:val="clear" w:color="auto" w:fill="FFFFFF"/>
        </w:rPr>
        <w:t>188.2%</w:t>
      </w:r>
      <w:r>
        <w:rPr>
          <w:rFonts w:ascii="方正仿宋_GBK" w:hAnsi="方正仿宋_GBK" w:eastAsia="方正仿宋_GBK" w:cs="方正仿宋_GBK"/>
          <w:bCs/>
          <w:snapToGrid w:val="0"/>
          <w:sz w:val="32"/>
          <w:szCs w:val="32"/>
          <w:shd w:val="clear" w:color="auto" w:fill="FFFFFF"/>
        </w:rPr>
        <w:t>，主要原因是</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年为单位专业技术人员购买了转计人员岗位培训。</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（二）机关运行经费支出情况说明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rPr>
      </w:pPr>
      <w:r>
        <w:rPr>
          <w:rStyle w:val="5"/>
          <w:rFonts w:ascii="方正仿宋_GBK" w:hAnsi="方正仿宋_GBK" w:eastAsia="方正仿宋_GBK" w:cs="方正仿宋_GBK"/>
          <w:b w:val="0"/>
          <w:bCs/>
          <w:sz w:val="32"/>
          <w:szCs w:val="32"/>
          <w:shd w:val="clear" w:color="auto" w:fill="FFFFFF"/>
        </w:rPr>
        <w:t>按照部门决算列报口径，我单位不在机关运行经费统计范围之内。</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楷体_GBK" w:hAnsi="方正楷体_GBK" w:eastAsia="方正楷体_GBK" w:cs="方正楷体_GBK"/>
          <w:b w:val="0"/>
          <w:bCs/>
          <w:sz w:val="32"/>
          <w:szCs w:val="32"/>
          <w:shd w:val="clear" w:color="auto" w:fill="FFFFFF"/>
        </w:rPr>
        <w:t>（三）国有资产占用情况说明</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bCs/>
          <w:snapToGrid w:val="0"/>
          <w:sz w:val="32"/>
          <w:szCs w:val="32"/>
          <w:shd w:val="clear" w:color="auto" w:fill="FFFFFF"/>
        </w:rPr>
        <w:t>截至</w:t>
      </w:r>
      <w:r>
        <w:rPr>
          <w:rFonts w:hint="default" w:ascii="Times New Roman" w:hAnsi="Times New Roman" w:eastAsia="方正仿宋_GBK"/>
          <w:bCs/>
          <w:sz w:val="32"/>
          <w:szCs w:val="32"/>
          <w:shd w:val="clear" w:color="auto" w:fill="FFFFFF"/>
        </w:rPr>
        <w:t>2022</w:t>
      </w:r>
      <w:r>
        <w:rPr>
          <w:rFonts w:ascii="方正仿宋_GBK" w:hAnsi="方正仿宋_GBK" w:eastAsia="方正仿宋_GBK" w:cs="方正仿宋_GBK"/>
          <w:bCs/>
          <w:snapToGrid w:val="0"/>
          <w:sz w:val="32"/>
          <w:szCs w:val="32"/>
          <w:shd w:val="clear" w:color="auto" w:fill="FFFFFF"/>
        </w:rPr>
        <w:t>年</w:t>
      </w:r>
      <w:r>
        <w:rPr>
          <w:rFonts w:hint="default" w:ascii="Times New Roman" w:hAnsi="Times New Roman" w:eastAsia="方正仿宋_GBK"/>
          <w:bCs/>
          <w:sz w:val="32"/>
          <w:szCs w:val="32"/>
          <w:shd w:val="clear" w:color="auto" w:fill="FFFFFF"/>
        </w:rPr>
        <w:t>12</w:t>
      </w:r>
      <w:r>
        <w:rPr>
          <w:rFonts w:ascii="方正仿宋_GBK" w:hAnsi="方正仿宋_GBK" w:eastAsia="方正仿宋_GBK" w:cs="方正仿宋_GBK"/>
          <w:bCs/>
          <w:snapToGrid w:val="0"/>
          <w:sz w:val="32"/>
          <w:szCs w:val="32"/>
          <w:shd w:val="clear" w:color="auto" w:fill="FFFFFF"/>
        </w:rPr>
        <w:t>月</w:t>
      </w:r>
      <w:r>
        <w:rPr>
          <w:rFonts w:hint="default" w:ascii="Times New Roman" w:hAnsi="Times New Roman" w:eastAsia="方正仿宋_GBK"/>
          <w:bCs/>
          <w:sz w:val="32"/>
          <w:szCs w:val="32"/>
          <w:shd w:val="clear" w:color="auto" w:fill="FFFFFF"/>
        </w:rPr>
        <w:t>31</w:t>
      </w:r>
      <w:r>
        <w:rPr>
          <w:rFonts w:ascii="方正仿宋_GBK" w:hAnsi="方正仿宋_GBK" w:eastAsia="方正仿宋_GBK" w:cs="方正仿宋_GBK"/>
          <w:bCs/>
          <w:snapToGrid w:val="0"/>
          <w:sz w:val="32"/>
          <w:szCs w:val="32"/>
          <w:shd w:val="clear" w:color="auto" w:fill="FFFFFF"/>
        </w:rPr>
        <w:t>日，本部门共有车辆</w:t>
      </w:r>
      <w:r>
        <w:rPr>
          <w:rFonts w:hint="default" w:ascii="Times New Roman" w:hAnsi="Times New Roman" w:eastAsia="方正仿宋_GBK"/>
          <w:bCs/>
          <w:sz w:val="32"/>
          <w:szCs w:val="32"/>
          <w:shd w:val="clear" w:color="auto" w:fill="FFFFFF"/>
        </w:rPr>
        <w:t>1</w:t>
      </w:r>
      <w:r>
        <w:rPr>
          <w:rFonts w:ascii="方正仿宋_GBK" w:hAnsi="方正仿宋_GBK" w:eastAsia="方正仿宋_GBK" w:cs="方正仿宋_GBK"/>
          <w:bCs/>
          <w:snapToGrid w:val="0"/>
          <w:sz w:val="32"/>
          <w:szCs w:val="32"/>
          <w:shd w:val="clear" w:color="auto" w:fill="FFFFFF"/>
        </w:rPr>
        <w:t>辆，其中，副部（省）级及以上领导用车</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辆、主要领导干部用车</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辆、机要通信用车</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辆、应急保障用车</w:t>
      </w:r>
      <w:r>
        <w:rPr>
          <w:rFonts w:hint="default" w:ascii="Times New Roman" w:hAnsi="Times New Roman" w:eastAsia="方正仿宋_GBK"/>
          <w:bCs/>
          <w:sz w:val="32"/>
          <w:szCs w:val="32"/>
          <w:shd w:val="clear" w:color="auto" w:fill="FFFFFF"/>
        </w:rPr>
        <w:t>1</w:t>
      </w:r>
      <w:r>
        <w:rPr>
          <w:rFonts w:ascii="方正仿宋_GBK" w:hAnsi="方正仿宋_GBK" w:eastAsia="方正仿宋_GBK" w:cs="方正仿宋_GBK"/>
          <w:bCs/>
          <w:snapToGrid w:val="0"/>
          <w:sz w:val="32"/>
          <w:szCs w:val="32"/>
          <w:shd w:val="clear" w:color="auto" w:fill="FFFFFF"/>
        </w:rPr>
        <w:t>辆、执法执勤用车</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辆，特种专业技术用车</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辆，离退休干部用车</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辆，其他用车</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辆。单价</w:t>
      </w:r>
      <w:r>
        <w:rPr>
          <w:rFonts w:hint="default" w:ascii="Times New Roman" w:hAnsi="Times New Roman" w:eastAsia="方正仿宋_GBK"/>
          <w:bCs/>
          <w:sz w:val="32"/>
          <w:szCs w:val="32"/>
          <w:shd w:val="clear" w:color="auto" w:fill="FFFFFF"/>
        </w:rPr>
        <w:t>100</w:t>
      </w:r>
      <w:r>
        <w:rPr>
          <w:rFonts w:ascii="方正仿宋_GBK" w:hAnsi="方正仿宋_GBK" w:eastAsia="方正仿宋_GBK" w:cs="方正仿宋_GBK"/>
          <w:bCs/>
          <w:snapToGrid w:val="0"/>
          <w:sz w:val="32"/>
          <w:szCs w:val="32"/>
          <w:shd w:val="clear" w:color="auto" w:fill="FFFFFF"/>
        </w:rPr>
        <w:t>万元（含）以上设备（不含车辆）</w:t>
      </w:r>
      <w:r>
        <w:rPr>
          <w:rFonts w:hint="default" w:ascii="Times New Roman" w:hAnsi="Times New Roman" w:eastAsia="方正仿宋_GBK"/>
          <w:bCs/>
          <w:sz w:val="32"/>
          <w:szCs w:val="32"/>
          <w:shd w:val="clear" w:color="auto" w:fill="FFFFFF"/>
        </w:rPr>
        <w:t>0</w:t>
      </w:r>
      <w:r>
        <w:rPr>
          <w:rFonts w:ascii="方正仿宋_GBK" w:hAnsi="方正仿宋_GBK" w:eastAsia="方正仿宋_GBK" w:cs="方正仿宋_GBK"/>
          <w:bCs/>
          <w:snapToGrid w:val="0"/>
          <w:sz w:val="32"/>
          <w:szCs w:val="32"/>
          <w:shd w:val="clear" w:color="auto" w:fill="FFFFFF"/>
        </w:rPr>
        <w:t>台（套）。</w:t>
      </w:r>
    </w:p>
    <w:p>
      <w:pPr>
        <w:pStyle w:val="2"/>
        <w:shd w:val="clear" w:color="auto" w:fill="FFFFFF"/>
        <w:snapToGrid w:val="0"/>
        <w:spacing w:beforeAutospacing="0" w:afterAutospacing="0" w:line="560" w:lineRule="exact"/>
        <w:ind w:firstLine="640" w:firstLineChars="200"/>
        <w:rPr>
          <w:rFonts w:hint="default" w:ascii="方正楷体_GBK" w:hAnsi="方正楷体_GBK" w:eastAsia="方正楷体_GBK" w:cs="方正楷体_GBK"/>
          <w:bCs/>
          <w:sz w:val="32"/>
          <w:szCs w:val="32"/>
        </w:rPr>
      </w:pPr>
      <w:r>
        <w:rPr>
          <w:rStyle w:val="5"/>
          <w:rFonts w:ascii="方正楷体_GBK" w:hAnsi="方正楷体_GBK" w:eastAsia="方正楷体_GBK" w:cs="方正楷体_GBK"/>
          <w:b w:val="0"/>
          <w:bCs/>
          <w:sz w:val="32"/>
          <w:szCs w:val="32"/>
          <w:shd w:val="clear" w:color="auto" w:fill="FFFFFF"/>
        </w:rPr>
        <w:t>（四）政府采购支出说明</w:t>
      </w:r>
    </w:p>
    <w:p>
      <w:pPr>
        <w:widowControl/>
        <w:snapToGrid w:val="0"/>
        <w:spacing w:line="560" w:lineRule="exact"/>
        <w:ind w:firstLine="640" w:firstLineChars="200"/>
        <w:jc w:val="left"/>
        <w:rPr>
          <w:rFonts w:ascii="方正仿宋_GBK" w:hAnsi="方正仿宋_GBK" w:eastAsia="方正仿宋_GBK" w:cs="方正仿宋_GBK"/>
          <w:bCs/>
          <w:sz w:val="32"/>
          <w:szCs w:val="32"/>
          <w:shd w:val="clear" w:color="auto" w:fill="FFFFFF"/>
          <w:lang w:bidi="ar"/>
        </w:rPr>
      </w:pPr>
      <w:r>
        <w:rPr>
          <w:rFonts w:ascii="Times New Roman" w:hAnsi="Times New Roman" w:eastAsia="方正仿宋_GBK" w:cs="Times New Roman"/>
          <w:bCs/>
          <w:kern w:val="0"/>
          <w:sz w:val="32"/>
          <w:szCs w:val="32"/>
          <w:shd w:val="clear" w:color="auto" w:fill="FFFFFF"/>
          <w:lang w:bidi="ar"/>
        </w:rPr>
        <w:t>2022</w:t>
      </w:r>
      <w:r>
        <w:rPr>
          <w:rFonts w:hint="eastAsia" w:ascii="方正仿宋_GBK" w:hAnsi="方正仿宋_GBK" w:eastAsia="方正仿宋_GBK" w:cs="方正仿宋_GBK"/>
          <w:bCs/>
          <w:kern w:val="0"/>
          <w:sz w:val="32"/>
          <w:szCs w:val="32"/>
          <w:shd w:val="clear" w:color="auto" w:fill="FFFFFF"/>
          <w:lang w:bidi="ar"/>
        </w:rPr>
        <w:t>年度我单位未发生政府采购事项，无相关经费支出。</w:t>
      </w:r>
    </w:p>
    <w:p>
      <w:pPr>
        <w:pStyle w:val="2"/>
        <w:shd w:val="clear" w:color="auto" w:fill="FFFFFF"/>
        <w:snapToGrid w:val="0"/>
        <w:spacing w:beforeAutospacing="0" w:afterAutospacing="0" w:line="560" w:lineRule="exact"/>
        <w:ind w:firstLine="640" w:firstLineChars="200"/>
        <w:rPr>
          <w:rFonts w:hint="default" w:ascii="方正黑体_GBK" w:hAnsi="方正黑体_GBK" w:eastAsia="方正黑体_GBK" w:cs="方正黑体_GBK"/>
          <w:bCs/>
          <w:sz w:val="32"/>
          <w:szCs w:val="32"/>
        </w:rPr>
      </w:pPr>
      <w:r>
        <w:rPr>
          <w:rStyle w:val="5"/>
          <w:rFonts w:ascii="方正黑体_GBK" w:hAnsi="方正黑体_GBK" w:eastAsia="方正黑体_GBK" w:cs="方正黑体_GBK"/>
          <w:b w:val="0"/>
          <w:bCs/>
          <w:sz w:val="32"/>
          <w:szCs w:val="32"/>
          <w:shd w:val="clear" w:color="auto" w:fill="FFFFFF"/>
        </w:rPr>
        <w:t>五、预算绩效管理情况说明</w:t>
      </w:r>
    </w:p>
    <w:p>
      <w:pPr>
        <w:pStyle w:val="2"/>
        <w:snapToGrid w:val="0"/>
        <w:spacing w:beforeAutospacing="0" w:afterAutospacing="0" w:line="560" w:lineRule="exact"/>
        <w:ind w:firstLine="640" w:firstLineChars="200"/>
        <w:rPr>
          <w:rFonts w:hint="default" w:ascii="方正仿宋_GBK" w:hAnsi="方正仿宋_GBK" w:eastAsia="方正仿宋_GBK" w:cs="方正仿宋_GBK"/>
          <w:bCs/>
          <w:sz w:val="32"/>
          <w:szCs w:val="32"/>
          <w:shd w:val="clear" w:color="auto" w:fill="FFFFFF"/>
          <w:lang w:bidi="ar"/>
        </w:rPr>
      </w:pPr>
      <w:r>
        <w:rPr>
          <w:rFonts w:ascii="方正仿宋_GBK" w:hAnsi="方正仿宋_GBK" w:eastAsia="方正仿宋_GBK" w:cs="方正仿宋_GBK"/>
          <w:bCs/>
          <w:sz w:val="32"/>
          <w:szCs w:val="32"/>
          <w:shd w:val="clear" w:color="auto" w:fill="FFFFFF"/>
          <w:lang w:bidi="ar"/>
        </w:rPr>
        <w:t>根据预算绩效管理要求，我中心对</w:t>
      </w:r>
      <w:r>
        <w:rPr>
          <w:rFonts w:hint="default" w:ascii="Times New Roman" w:hAnsi="Times New Roman" w:eastAsia="方正仿宋_GBK"/>
          <w:bCs/>
          <w:sz w:val="32"/>
          <w:szCs w:val="32"/>
          <w:shd w:val="clear" w:color="auto" w:fill="FFFFFF"/>
          <w:lang w:bidi="ar"/>
        </w:rPr>
        <w:t>3</w:t>
      </w:r>
      <w:r>
        <w:rPr>
          <w:rFonts w:ascii="方正仿宋_GBK" w:hAnsi="方正仿宋_GBK" w:eastAsia="方正仿宋_GBK" w:cs="方正仿宋_GBK"/>
          <w:bCs/>
          <w:sz w:val="32"/>
          <w:szCs w:val="32"/>
          <w:shd w:val="clear" w:color="auto" w:fill="FFFFFF"/>
          <w:lang w:bidi="ar"/>
        </w:rPr>
        <w:t>个项目开展了绩效自评，其中，以填报自评表形式开展自评</w:t>
      </w:r>
      <w:r>
        <w:rPr>
          <w:rFonts w:hint="default" w:ascii="Times New Roman" w:hAnsi="Times New Roman" w:eastAsia="方正仿宋_GBK"/>
          <w:bCs/>
          <w:sz w:val="32"/>
          <w:szCs w:val="32"/>
          <w:shd w:val="clear" w:color="auto" w:fill="FFFFFF"/>
          <w:lang w:bidi="ar"/>
        </w:rPr>
        <w:t>3</w:t>
      </w:r>
      <w:r>
        <w:rPr>
          <w:rFonts w:ascii="方正仿宋_GBK" w:hAnsi="方正仿宋_GBK" w:eastAsia="方正仿宋_GBK" w:cs="方正仿宋_GBK"/>
          <w:bCs/>
          <w:sz w:val="32"/>
          <w:szCs w:val="32"/>
          <w:shd w:val="clear" w:color="auto" w:fill="FFFFFF"/>
          <w:lang w:bidi="ar"/>
        </w:rPr>
        <w:t>项，涉及资金</w:t>
      </w:r>
      <w:r>
        <w:rPr>
          <w:rFonts w:hint="default" w:ascii="Times New Roman" w:hAnsi="Times New Roman" w:eastAsia="方正仿宋_GBK"/>
          <w:bCs/>
          <w:sz w:val="32"/>
          <w:szCs w:val="32"/>
          <w:shd w:val="clear" w:color="auto" w:fill="FFFFFF"/>
          <w:lang w:bidi="ar"/>
        </w:rPr>
        <w:t>49.26</w:t>
      </w:r>
      <w:r>
        <w:rPr>
          <w:rFonts w:ascii="方正仿宋_GBK" w:hAnsi="方正仿宋_GBK" w:eastAsia="方正仿宋_GBK" w:cs="方正仿宋_GBK"/>
          <w:bCs/>
          <w:sz w:val="32"/>
          <w:szCs w:val="32"/>
          <w:shd w:val="clear" w:color="auto" w:fill="FFFFFF"/>
          <w:lang w:bidi="ar"/>
        </w:rPr>
        <w:t>万元。</w:t>
      </w:r>
    </w:p>
    <w:p>
      <w:pPr>
        <w:pStyle w:val="2"/>
        <w:shd w:val="clear" w:color="auto" w:fill="FFFFFF"/>
        <w:snapToGrid w:val="0"/>
        <w:spacing w:beforeAutospacing="0" w:afterAutospacing="0" w:line="560" w:lineRule="exact"/>
        <w:ind w:firstLine="640" w:firstLineChars="200"/>
        <w:rPr>
          <w:rFonts w:hint="default" w:ascii="方正黑体_GBK" w:hAnsi="方正黑体_GBK" w:eastAsia="方正黑体_GBK" w:cs="方正黑体_GBK"/>
          <w:bCs/>
          <w:sz w:val="32"/>
          <w:szCs w:val="32"/>
        </w:rPr>
      </w:pPr>
      <w:r>
        <w:rPr>
          <w:rStyle w:val="5"/>
          <w:rFonts w:ascii="方正黑体_GBK" w:hAnsi="方正黑体_GBK" w:eastAsia="方正黑体_GBK" w:cs="方正黑体_GBK"/>
          <w:b w:val="0"/>
          <w:bCs/>
          <w:sz w:val="32"/>
          <w:szCs w:val="32"/>
          <w:shd w:val="clear" w:color="auto" w:fill="FFFFFF"/>
        </w:rPr>
        <w:t>六、专业名词解释</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（一）财政拨款收入</w:t>
      </w:r>
      <w:r>
        <w:rPr>
          <w:rFonts w:ascii="方正仿宋_GBK" w:hAnsi="方正仿宋_GBK" w:eastAsia="方正仿宋_GBK" w:cs="方正仿宋_GBK"/>
          <w:bCs/>
          <w:snapToGrid w:val="0"/>
          <w:sz w:val="32"/>
          <w:szCs w:val="32"/>
          <w:shd w:val="clear" w:color="auto" w:fill="FFFFFF"/>
        </w:rPr>
        <w:t>：指本年度从本级财政部门取得的财政拨款，包括一般公共预算财政拨款和政府性基金预算财政拨款。</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（二）事业收入</w:t>
      </w:r>
      <w:r>
        <w:rPr>
          <w:rFonts w:ascii="方正仿宋_GBK" w:hAnsi="方正仿宋_GBK" w:eastAsia="方正仿宋_GBK" w:cs="方正仿宋_GBK"/>
          <w:bCs/>
          <w:snapToGrid w:val="0"/>
          <w:sz w:val="32"/>
          <w:szCs w:val="32"/>
          <w:shd w:val="clear" w:color="auto" w:fill="FFFFFF"/>
        </w:rPr>
        <w:t>：指事业单位开展专业业务活动及其辅助活动取得的现金流入；事业单位收到的财政专户实际核拨的教育收费等资金在此反映。</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（三）经营收入</w:t>
      </w:r>
      <w:r>
        <w:rPr>
          <w:rFonts w:ascii="方正仿宋_GBK" w:hAnsi="方正仿宋_GBK" w:eastAsia="方正仿宋_GBK" w:cs="方正仿宋_GBK"/>
          <w:bCs/>
          <w:snapToGrid w:val="0"/>
          <w:sz w:val="32"/>
          <w:szCs w:val="32"/>
          <w:shd w:val="clear" w:color="auto" w:fill="FFFFFF"/>
        </w:rPr>
        <w:t>：指事业单位在专业业务活动及其辅助活动之外开展非独立核算经营活动取得的现金流入。</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（四）其他收入</w:t>
      </w:r>
      <w:r>
        <w:rPr>
          <w:rFonts w:ascii="方正仿宋_GBK" w:hAnsi="方正仿宋_GBK" w:eastAsia="方正仿宋_GBK" w:cs="方正仿宋_GBK"/>
          <w:bCs/>
          <w:snapToGrid w:val="0"/>
          <w:sz w:val="32"/>
          <w:szCs w:val="32"/>
          <w:shd w:val="clear" w:color="auto" w:fill="FFFFFF"/>
        </w:rPr>
        <w:t>：指单位取得的除</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财政拨款收入</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事业收入</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经营收入</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（五）使用非财政拨款结余</w:t>
      </w:r>
      <w:r>
        <w:rPr>
          <w:rFonts w:ascii="方正仿宋_GBK" w:hAnsi="方正仿宋_GBK" w:eastAsia="方正仿宋_GBK" w:cs="方正仿宋_GBK"/>
          <w:bCs/>
          <w:snapToGrid w:val="0"/>
          <w:sz w:val="32"/>
          <w:szCs w:val="32"/>
          <w:shd w:val="clear" w:color="auto" w:fill="FFFFFF"/>
        </w:rPr>
        <w:t>：指单位在当年的</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财政拨款收入</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事业收入</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经营收入</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其他收入</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等不足以安排当年支出的情况下，使用以前年度积累的非财政拨款结余弥补本年度收支缺口的资金。</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（六）年初结转和结余</w:t>
      </w:r>
      <w:r>
        <w:rPr>
          <w:rFonts w:ascii="方正仿宋_GBK" w:hAnsi="方正仿宋_GBK" w:eastAsia="方正仿宋_GBK" w:cs="方正仿宋_GBK"/>
          <w:bCs/>
          <w:snapToGrid w:val="0"/>
          <w:sz w:val="32"/>
          <w:szCs w:val="32"/>
          <w:shd w:val="clear" w:color="auto" w:fill="FFFFFF"/>
        </w:rPr>
        <w:t>：指单位上年结转本年使用的基本支出结转、项目支出结转和结余、经营结余。</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（七）结余分配</w:t>
      </w:r>
      <w:r>
        <w:rPr>
          <w:rFonts w:ascii="方正仿宋_GBK" w:hAnsi="方正仿宋_GBK" w:eastAsia="方正仿宋_GBK" w:cs="方正仿宋_GBK"/>
          <w:bCs/>
          <w:snapToGrid w:val="0"/>
          <w:sz w:val="32"/>
          <w:szCs w:val="32"/>
          <w:shd w:val="clear" w:color="auto" w:fill="FFFFFF"/>
        </w:rPr>
        <w:t>：指单位按照国家有关规定，缴纳所得税、提取专用基金、转入非财政拨款结余等当年结余的分配情况。</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（八）年末结转和结余</w:t>
      </w:r>
      <w:r>
        <w:rPr>
          <w:rFonts w:ascii="方正仿宋_GBK" w:hAnsi="方正仿宋_GBK" w:eastAsia="方正仿宋_GBK" w:cs="方正仿宋_GBK"/>
          <w:bCs/>
          <w:snapToGrid w:val="0"/>
          <w:sz w:val="32"/>
          <w:szCs w:val="32"/>
          <w:shd w:val="clear" w:color="auto" w:fill="FFFFFF"/>
        </w:rPr>
        <w:t>：指单位结转下年的基本支出结转、项目支出结转和结余、经营结余。</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（九）基本支出</w:t>
      </w:r>
      <w:r>
        <w:rPr>
          <w:rFonts w:ascii="方正仿宋_GBK" w:hAnsi="方正仿宋_GBK" w:eastAsia="方正仿宋_GBK" w:cs="方正仿宋_GBK"/>
          <w:bCs/>
          <w:snapToGrid w:val="0"/>
          <w:sz w:val="32"/>
          <w:szCs w:val="32"/>
          <w:shd w:val="clear" w:color="auto" w:fill="FFFFFF"/>
        </w:rPr>
        <w:t>：指为保障机构正常运转、完成日常工作任务而发生的人员经费和公用经费。其中：人员经费指政府收支分类经济科目中的</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工资福利支出</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和</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对个人和家庭的补助</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；公用经费指政府收支分类经济科目中除</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工资福利支出</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和</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对个人和家庭的补助</w:t>
      </w:r>
      <w:r>
        <w:rPr>
          <w:rFonts w:ascii="方正仿宋_GBK" w:hAnsi="方正仿宋_GBK" w:eastAsia="方正仿宋_GBK" w:cs="方正仿宋_GBK"/>
          <w:bCs/>
          <w:sz w:val="32"/>
          <w:szCs w:val="32"/>
          <w:shd w:val="clear" w:color="auto" w:fill="FFFFFF"/>
        </w:rPr>
        <w:t>”</w:t>
      </w:r>
      <w:r>
        <w:rPr>
          <w:rFonts w:ascii="方正仿宋_GBK" w:hAnsi="方正仿宋_GBK" w:eastAsia="方正仿宋_GBK" w:cs="方正仿宋_GBK"/>
          <w:bCs/>
          <w:snapToGrid w:val="0"/>
          <w:sz w:val="32"/>
          <w:szCs w:val="32"/>
          <w:shd w:val="clear" w:color="auto" w:fill="FFFFFF"/>
        </w:rPr>
        <w:t>外的其他支出。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（十）项目支出</w:t>
      </w:r>
      <w:r>
        <w:rPr>
          <w:rFonts w:ascii="方正仿宋_GBK" w:hAnsi="方正仿宋_GBK" w:eastAsia="方正仿宋_GBK" w:cs="方正仿宋_GBK"/>
          <w:bCs/>
          <w:snapToGrid w:val="0"/>
          <w:sz w:val="32"/>
          <w:szCs w:val="32"/>
          <w:shd w:val="clear" w:color="auto" w:fill="FFFFFF"/>
        </w:rPr>
        <w:t>：指在基本支出之外为完成特定行政任务和事业发展目标所发生的支出。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（十一）经营支出</w:t>
      </w:r>
      <w:r>
        <w:rPr>
          <w:rFonts w:ascii="方正仿宋_GBK" w:hAnsi="方正仿宋_GBK" w:eastAsia="方正仿宋_GBK" w:cs="方正仿宋_GBK"/>
          <w:bCs/>
          <w:snapToGrid w:val="0"/>
          <w:sz w:val="32"/>
          <w:szCs w:val="32"/>
          <w:shd w:val="clear" w:color="auto" w:fill="FFFFFF"/>
        </w:rPr>
        <w:t>：指事业单位在专业业务活动及其辅助活动之外开展非独立核算经营活动发生的支出。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（十二）“三公”经费</w:t>
      </w:r>
      <w:r>
        <w:rPr>
          <w:rFonts w:ascii="方正仿宋_GBK" w:hAnsi="方正仿宋_GBK" w:eastAsia="方正仿宋_GBK" w:cs="方正仿宋_GBK"/>
          <w:bCs/>
          <w:snapToGrid w:val="0"/>
          <w:sz w:val="32"/>
          <w:szCs w:val="32"/>
          <w:shd w:val="clear" w:color="auto" w:fill="FFFFFF"/>
        </w:rPr>
        <w:t>：指用财政拨款安排的因公出国（境）费、公务用车购置及运行维护费、公务接待费。其中，因公出国（境）</w:t>
      </w:r>
      <w:r>
        <w:rPr>
          <w:rFonts w:ascii="方正仿宋_GBK" w:hAnsi="方正仿宋_GBK" w:eastAsia="方正仿宋_GBK" w:cs="方正仿宋_GBK"/>
          <w:bCs/>
          <w:sz w:val="32"/>
          <w:szCs w:val="32"/>
          <w:shd w:val="clear" w:color="auto" w:fill="FFFFFF"/>
        </w:rPr>
        <w:t>费反映</w:t>
      </w:r>
      <w:r>
        <w:rPr>
          <w:rFonts w:ascii="方正仿宋_GBK" w:hAnsi="方正仿宋_GBK" w:eastAsia="方正仿宋_GBK" w:cs="方正仿宋_GBK"/>
          <w:bCs/>
          <w:snapToGrid w:val="0"/>
          <w:sz w:val="32"/>
          <w:szCs w:val="32"/>
          <w:shd w:val="clear" w:color="auto" w:fill="FFFFFF"/>
        </w:rPr>
        <w:t>单位公务出国（境）的国际旅费、国外城市间交通费、住宿费、伙食费、培训费、公杂费等支出；公务用车购置</w:t>
      </w:r>
      <w:r>
        <w:rPr>
          <w:rFonts w:ascii="方正仿宋_GBK" w:hAnsi="方正仿宋_GBK" w:eastAsia="方正仿宋_GBK" w:cs="方正仿宋_GBK"/>
          <w:bCs/>
          <w:sz w:val="32"/>
          <w:szCs w:val="32"/>
          <w:shd w:val="clear" w:color="auto" w:fill="FFFFFF"/>
        </w:rPr>
        <w:t>费反映</w:t>
      </w:r>
      <w:r>
        <w:rPr>
          <w:rFonts w:ascii="方正仿宋_GBK" w:hAnsi="方正仿宋_GBK" w:eastAsia="方正仿宋_GBK" w:cs="方正仿宋_GBK"/>
          <w:bCs/>
          <w:snapToGrid w:val="0"/>
          <w:sz w:val="32"/>
          <w:szCs w:val="32"/>
          <w:shd w:val="clear" w:color="auto" w:fill="FFFFFF"/>
        </w:rPr>
        <w:t>单位公务用车购置支出（</w:t>
      </w:r>
      <w:r>
        <w:rPr>
          <w:rFonts w:ascii="方正仿宋_GBK" w:hAnsi="方正仿宋_GBK" w:eastAsia="方正仿宋_GBK" w:cs="方正仿宋_GBK"/>
          <w:bCs/>
          <w:sz w:val="32"/>
          <w:szCs w:val="32"/>
          <w:shd w:val="clear" w:color="auto" w:fill="FFFFFF"/>
        </w:rPr>
        <w:t>含车辆</w:t>
      </w:r>
      <w:r>
        <w:rPr>
          <w:rFonts w:ascii="方正仿宋_GBK" w:hAnsi="方正仿宋_GBK" w:eastAsia="方正仿宋_GBK" w:cs="方正仿宋_GBK"/>
          <w:bCs/>
          <w:snapToGrid w:val="0"/>
          <w:sz w:val="32"/>
          <w:szCs w:val="32"/>
          <w:shd w:val="clear" w:color="auto" w:fill="FFFFFF"/>
        </w:rPr>
        <w:t>购置税）；公务用车运行维护费反映单位按规定保留的公务用车燃料费、维修费、过路过桥费、保险费、安全奖励费用等支出；公务接待</w:t>
      </w:r>
      <w:r>
        <w:rPr>
          <w:rFonts w:ascii="方正仿宋_GBK" w:hAnsi="方正仿宋_GBK" w:eastAsia="方正仿宋_GBK" w:cs="方正仿宋_GBK"/>
          <w:bCs/>
          <w:sz w:val="32"/>
          <w:szCs w:val="32"/>
          <w:shd w:val="clear" w:color="auto" w:fill="FFFFFF"/>
        </w:rPr>
        <w:t>费反映</w:t>
      </w:r>
      <w:r>
        <w:rPr>
          <w:rFonts w:ascii="方正仿宋_GBK" w:hAnsi="方正仿宋_GBK" w:eastAsia="方正仿宋_GBK" w:cs="方正仿宋_GBK"/>
          <w:bCs/>
          <w:snapToGrid w:val="0"/>
          <w:sz w:val="32"/>
          <w:szCs w:val="32"/>
          <w:shd w:val="clear" w:color="auto" w:fill="FFFFFF"/>
        </w:rPr>
        <w:t>单位按规定开支的各类公务接待（含外宾接待）支出。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（十三）机关运行经费</w:t>
      </w:r>
      <w:r>
        <w:rPr>
          <w:rFonts w:ascii="方正仿宋_GBK" w:hAnsi="方正仿宋_GBK" w:eastAsia="方正仿宋_GBK" w:cs="方正仿宋_GBK"/>
          <w:bCs/>
          <w:snapToGrid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（十四）工资福利支出（支出经济分类科目类级）</w:t>
      </w:r>
      <w:r>
        <w:rPr>
          <w:rFonts w:ascii="方正仿宋_GBK" w:hAnsi="方正仿宋_GBK" w:eastAsia="方正仿宋_GBK" w:cs="方正仿宋_GBK"/>
          <w:bCs/>
          <w:snapToGrid w:val="0"/>
          <w:sz w:val="32"/>
          <w:szCs w:val="32"/>
          <w:shd w:val="clear" w:color="auto" w:fill="FFFFFF"/>
        </w:rPr>
        <w:t>：反映单位开支的在职职工和编制</w:t>
      </w:r>
      <w:r>
        <w:rPr>
          <w:rFonts w:ascii="方正仿宋_GBK" w:hAnsi="方正仿宋_GBK" w:eastAsia="方正仿宋_GBK" w:cs="方正仿宋_GBK"/>
          <w:bCs/>
          <w:sz w:val="32"/>
          <w:szCs w:val="32"/>
          <w:shd w:val="clear" w:color="auto" w:fill="FFFFFF"/>
        </w:rPr>
        <w:t>外长期</w:t>
      </w:r>
      <w:r>
        <w:rPr>
          <w:rFonts w:ascii="方正仿宋_GBK" w:hAnsi="方正仿宋_GBK" w:eastAsia="方正仿宋_GBK" w:cs="方正仿宋_GBK"/>
          <w:bCs/>
          <w:snapToGrid w:val="0"/>
          <w:sz w:val="32"/>
          <w:szCs w:val="32"/>
          <w:shd w:val="clear" w:color="auto" w:fill="FFFFFF"/>
        </w:rPr>
        <w:t>聘用人员的各类劳动报酬，以及为上述人员缴纳的各项社会保险费等。</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（十五）商品和服务支出（支出经济分类科目类级）</w:t>
      </w:r>
      <w:r>
        <w:rPr>
          <w:rFonts w:ascii="方正仿宋_GBK" w:hAnsi="方正仿宋_GBK" w:eastAsia="方正仿宋_GBK" w:cs="方正仿宋_GBK"/>
          <w:bCs/>
          <w:snapToGrid w:val="0"/>
          <w:sz w:val="32"/>
          <w:szCs w:val="32"/>
          <w:shd w:val="clear" w:color="auto" w:fill="FFFFFF"/>
        </w:rPr>
        <w:t>：反映单位购买商品和服务的支出（不包括用于购置固定资产的支出、战略性和应急储备支出）。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（十六）对个人和家庭的补助（支出经济分类科目类级）</w:t>
      </w:r>
      <w:r>
        <w:rPr>
          <w:rFonts w:ascii="方正仿宋_GBK" w:hAnsi="方正仿宋_GBK" w:eastAsia="方正仿宋_GBK" w:cs="方正仿宋_GBK"/>
          <w:bCs/>
          <w:snapToGrid w:val="0"/>
          <w:sz w:val="32"/>
          <w:szCs w:val="32"/>
          <w:shd w:val="clear" w:color="auto" w:fill="FFFFFF"/>
        </w:rPr>
        <w:t>：反映用于对个人和家庭的补助支出。</w:t>
      </w:r>
    </w:p>
    <w:p>
      <w:pPr>
        <w:pStyle w:val="2"/>
        <w:shd w:val="clear" w:color="auto" w:fill="FFFFFF"/>
        <w:snapToGrid w:val="0"/>
        <w:spacing w:beforeAutospacing="0" w:afterAutospacing="0" w:line="560" w:lineRule="exact"/>
        <w:ind w:firstLine="640" w:firstLineChars="200"/>
        <w:rPr>
          <w:rFonts w:hint="default" w:ascii="方正仿宋_GBK" w:hAnsi="方正仿宋_GBK" w:eastAsia="方正仿宋_GBK" w:cs="方正仿宋_GBK"/>
          <w:bCs/>
          <w:sz w:val="32"/>
          <w:szCs w:val="32"/>
        </w:rPr>
      </w:pPr>
      <w:r>
        <w:rPr>
          <w:rStyle w:val="5"/>
          <w:rFonts w:ascii="方正仿宋_GBK" w:hAnsi="方正仿宋_GBK" w:eastAsia="方正仿宋_GBK" w:cs="方正仿宋_GBK"/>
          <w:b w:val="0"/>
          <w:bCs/>
          <w:sz w:val="32"/>
          <w:szCs w:val="32"/>
          <w:shd w:val="clear" w:color="auto" w:fill="FFFFFF"/>
        </w:rPr>
        <w:t>（十七）其他资本性支出（支出经济分类科目类级）</w:t>
      </w:r>
      <w:r>
        <w:rPr>
          <w:rFonts w:ascii="方正仿宋_GBK" w:hAnsi="方正仿宋_GBK" w:eastAsia="方正仿宋_GBK" w:cs="方正仿宋_GBK"/>
          <w:bCs/>
          <w:snapToGrid w:val="0"/>
          <w:sz w:val="32"/>
          <w:szCs w:val="32"/>
          <w:shd w:val="clear" w:color="auto" w:fill="FFFFFF"/>
        </w:rPr>
        <w:t>：反映</w:t>
      </w:r>
      <w:r>
        <w:rPr>
          <w:rFonts w:ascii="方正仿宋_GBK" w:hAnsi="方正仿宋_GBK" w:eastAsia="方正仿宋_GBK" w:cs="方正仿宋_GBK"/>
          <w:bCs/>
          <w:sz w:val="32"/>
          <w:szCs w:val="32"/>
          <w:shd w:val="clear" w:color="auto" w:fill="FFFFFF"/>
        </w:rPr>
        <w:t>非各级</w:t>
      </w:r>
      <w:r>
        <w:rPr>
          <w:rFonts w:ascii="方正仿宋_GBK" w:hAnsi="方正仿宋_GBK" w:eastAsia="方正仿宋_GBK" w:cs="方正仿宋_GBK"/>
          <w:bCs/>
          <w:snapToGrid w:val="0"/>
          <w:sz w:val="32"/>
          <w:szCs w:val="32"/>
          <w:shd w:val="clear" w:color="auto" w:fill="FFFFFF"/>
        </w:rPr>
        <w:t>发展与改革部门集中安排的用于购置固定资产、战略性和应急性储备、土地和无形资产，以及构建基础设施、大型修缮和财政支持企业更新改造所发生的支出。</w:t>
      </w:r>
    </w:p>
    <w:p>
      <w:pPr>
        <w:pStyle w:val="2"/>
        <w:shd w:val="clear" w:color="auto" w:fill="FFFFFF"/>
        <w:snapToGrid w:val="0"/>
        <w:spacing w:beforeAutospacing="0" w:afterAutospacing="0" w:line="560" w:lineRule="exact"/>
        <w:ind w:firstLine="640" w:firstLineChars="200"/>
        <w:rPr>
          <w:rFonts w:hint="default" w:ascii="方正黑体_GBK" w:hAnsi="方正黑体_GBK" w:eastAsia="方正黑体_GBK" w:cs="方正黑体_GBK"/>
          <w:bCs/>
          <w:sz w:val="32"/>
          <w:szCs w:val="32"/>
        </w:rPr>
      </w:pPr>
      <w:r>
        <w:rPr>
          <w:rStyle w:val="5"/>
          <w:rFonts w:ascii="方正黑体_GBK" w:hAnsi="方正黑体_GBK" w:eastAsia="方正黑体_GBK" w:cs="方正黑体_GBK"/>
          <w:b w:val="0"/>
          <w:bCs/>
          <w:sz w:val="32"/>
          <w:szCs w:val="32"/>
          <w:shd w:val="clear" w:color="auto" w:fill="FFFFFF"/>
        </w:rPr>
        <w:t>七、决算公开联系方式及信息反馈渠道</w:t>
      </w:r>
    </w:p>
    <w:p>
      <w:pPr>
        <w:pStyle w:val="2"/>
        <w:shd w:val="clear" w:color="auto" w:fill="FFFFFF"/>
        <w:snapToGrid w:val="0"/>
        <w:spacing w:beforeAutospacing="0" w:afterAutospacing="0" w:line="560" w:lineRule="exact"/>
        <w:ind w:firstLine="640" w:firstLineChars="200"/>
        <w:rPr>
          <w:rFonts w:hint="default" w:ascii="Times New Roman" w:hAnsi="Times New Roman" w:eastAsia="方正仿宋_GBK"/>
          <w:bCs/>
          <w:sz w:val="32"/>
          <w:szCs w:val="32"/>
        </w:rPr>
      </w:pPr>
      <w:r>
        <w:rPr>
          <w:rFonts w:ascii="方正仿宋_GBK" w:hAnsi="方正仿宋_GBK" w:eastAsia="方正仿宋_GBK" w:cs="方正仿宋_GBK"/>
          <w:bCs/>
          <w:snapToGrid w:val="0"/>
          <w:sz w:val="32"/>
          <w:szCs w:val="32"/>
          <w:shd w:val="clear" w:color="auto" w:fill="FFFFFF"/>
        </w:rPr>
        <w:t>本单位决算公开信息反馈和联系方式</w:t>
      </w:r>
      <w:r>
        <w:rPr>
          <w:rFonts w:hint="default" w:ascii="Times New Roman" w:hAnsi="Times New Roman" w:eastAsia="方正仿宋_GBK"/>
          <w:bCs/>
          <w:snapToGrid w:val="0"/>
          <w:sz w:val="32"/>
          <w:szCs w:val="32"/>
          <w:shd w:val="clear" w:color="auto" w:fill="FFFFFF"/>
        </w:rPr>
        <w:t>：023-63848102</w:t>
      </w:r>
    </w:p>
    <w:p>
      <w:pPr>
        <w:spacing w:line="560" w:lineRule="exact"/>
        <w:rPr>
          <w:rFonts w:ascii="方正仿宋_GBK" w:hAnsi="方正仿宋_GBK" w:eastAsia="方正仿宋_GBK" w:cs="方正仿宋_GBK"/>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28C11EDA"/>
    <w:rsid w:val="001610DD"/>
    <w:rsid w:val="007C7106"/>
    <w:rsid w:val="04CF69F1"/>
    <w:rsid w:val="09E65607"/>
    <w:rsid w:val="0B621425"/>
    <w:rsid w:val="14F90946"/>
    <w:rsid w:val="1CDA2E0B"/>
    <w:rsid w:val="251610A0"/>
    <w:rsid w:val="262923F6"/>
    <w:rsid w:val="274C0DA9"/>
    <w:rsid w:val="28C11EDA"/>
    <w:rsid w:val="2B764647"/>
    <w:rsid w:val="2C7D1A05"/>
    <w:rsid w:val="32AF463E"/>
    <w:rsid w:val="3AF86E26"/>
    <w:rsid w:val="44927617"/>
    <w:rsid w:val="5E007C1C"/>
    <w:rsid w:val="66835983"/>
    <w:rsid w:val="6F1462E0"/>
    <w:rsid w:val="76A3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widowControl/>
      <w:spacing w:beforeAutospacing="1" w:afterAutospacing="1"/>
      <w:jc w:val="left"/>
    </w:pPr>
    <w:rPr>
      <w:rFonts w:hint="eastAsia" w:ascii="宋体" w:hAnsi="宋体" w:eastAsia="宋体"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662</Words>
  <Characters>3776</Characters>
  <Lines>31</Lines>
  <Paragraphs>8</Paragraphs>
  <TotalTime>0</TotalTime>
  <ScaleCrop>false</ScaleCrop>
  <LinksUpToDate>false</LinksUpToDate>
  <CharactersWithSpaces>4430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2023-08-28T02:03:00Z</dcterms:created>
  <dc:creator>晓晓</dc:creator>
  <cp:lastModifiedBy>那个她</cp:lastModifiedBy>
  <dcterms:modified xsi:type="dcterms:W3CDTF">2023-10-24T02:50:40Z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3E9C5AE9688849389538238759071841_11</vt:lpwstr>
  </property>
</Properties>
</file>