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22D83">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重庆市渝中区大坪街道社区卫生服务中心</w:t>
      </w:r>
    </w:p>
    <w:p w14:paraId="5D2EDB3A">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w:t>
      </w:r>
      <w:r>
        <w:rPr>
          <w:rFonts w:hint="eastAsia" w:ascii="方正小标宋_GBK" w:hAnsi="方正小标宋_GBK" w:eastAsia="方正小标宋_GBK" w:cs="方正小标宋_GBK"/>
          <w:sz w:val="44"/>
          <w:szCs w:val="44"/>
          <w:lang w:eastAsia="zh-CN"/>
        </w:rPr>
        <w:t>部门</w:t>
      </w:r>
      <w:r>
        <w:rPr>
          <w:rFonts w:hint="eastAsia" w:ascii="方正小标宋_GBK" w:hAnsi="方正小标宋_GBK" w:eastAsia="方正小标宋_GBK" w:cs="方正小标宋_GBK"/>
          <w:sz w:val="44"/>
          <w:szCs w:val="44"/>
        </w:rPr>
        <w:t>决算公开说明</w:t>
      </w:r>
    </w:p>
    <w:p w14:paraId="3F4C530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p>
    <w:p w14:paraId="78FEC6C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一、部门基本情况</w:t>
      </w:r>
    </w:p>
    <w:p w14:paraId="02226A8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（一）职能职责</w:t>
      </w:r>
    </w:p>
    <w:p w14:paraId="1DF2F11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重庆市渝中区大坪街道社</w:t>
      </w:r>
      <w:bookmarkStart w:id="0" w:name="_GoBack"/>
      <w:bookmarkEnd w:id="0"/>
      <w:r>
        <w:rPr>
          <w:rFonts w:hint="default" w:ascii="Times New Roman" w:hAnsi="Times New Roman" w:eastAsia="方正仿宋_GBK" w:cs="Times New Roman"/>
          <w:sz w:val="32"/>
          <w:szCs w:val="32"/>
        </w:rPr>
        <w:t>区卫生服务中心为重庆市渝中区卫</w:t>
      </w:r>
      <w:r>
        <w:rPr>
          <w:rFonts w:hint="default" w:ascii="Times New Roman" w:hAnsi="Times New Roman" w:eastAsia="方正仿宋_GBK" w:cs="Times New Roman"/>
          <w:sz w:val="32"/>
          <w:szCs w:val="32"/>
        </w:rPr>
        <w:t>生健康委员会下属事业单位，主要职责是:</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落实城市居民健康档</w:t>
      </w:r>
      <w:r>
        <w:rPr>
          <w:rFonts w:hint="default" w:ascii="Times New Roman" w:hAnsi="Times New Roman" w:eastAsia="方正仿宋_GBK" w:cs="Times New Roman"/>
          <w:sz w:val="32"/>
          <w:szCs w:val="32"/>
        </w:rPr>
        <w:t>案管理及服务。</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.普及卫生保健常识，实施重点人群及重点场所</w:t>
      </w:r>
      <w:r>
        <w:rPr>
          <w:rFonts w:hint="default" w:ascii="Times New Roman" w:hAnsi="Times New Roman" w:eastAsia="方正仿宋_GBK" w:cs="Times New Roman"/>
          <w:sz w:val="32"/>
          <w:szCs w:val="32"/>
        </w:rPr>
        <w:t>健康教育，帮助居民形成有利于维护和增进健康的行为方式。</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进行预防接种服务，执行国家免疫规划。</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.及时发现、登记并报告辖区内发现的传染病病例和疑似病例，参与现场疫情处理。</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开展新生儿访视及儿童保健系统管理，进行体格检查和生长发育</w:t>
      </w:r>
      <w:r>
        <w:rPr>
          <w:rFonts w:hint="default" w:ascii="Times New Roman" w:hAnsi="Times New Roman" w:eastAsia="方正仿宋_GBK" w:cs="Times New Roman"/>
          <w:sz w:val="32"/>
          <w:szCs w:val="32"/>
        </w:rPr>
        <w:t>监测及评价，开展健康指导。</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.开展孕产妇保健系统管理和产后访视，进行一般体格检查及孕期营养、心理等健康指导。</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.对辖</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rPr>
        <w:t>65</w:t>
      </w:r>
      <w:r>
        <w:rPr>
          <w:rFonts w:hint="default" w:ascii="Times New Roman" w:hAnsi="Times New Roman" w:eastAsia="方正仿宋_GBK" w:cs="Times New Roman"/>
          <w:sz w:val="32"/>
          <w:szCs w:val="32"/>
        </w:rPr>
        <w:t>岁及以上老年人进行登记管理，进行健康危险因素调查和一</w:t>
      </w:r>
      <w:r>
        <w:rPr>
          <w:rFonts w:hint="default" w:ascii="Times New Roman" w:hAnsi="Times New Roman" w:eastAsia="方正仿宋_GBK" w:cs="Times New Roman"/>
          <w:sz w:val="32"/>
          <w:szCs w:val="32"/>
        </w:rPr>
        <w:t>般体格检查，提供每年一次免费健康体检，开展健康指导。</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rPr>
        <w:t>高血压、糖尿病等慢性病高危人群进行指导，对确诊高血压、糖</w:t>
      </w:r>
      <w:r>
        <w:rPr>
          <w:rFonts w:hint="default" w:ascii="Times New Roman" w:hAnsi="Times New Roman" w:eastAsia="方正仿宋_GBK" w:cs="Times New Roman"/>
          <w:sz w:val="32"/>
          <w:szCs w:val="32"/>
        </w:rPr>
        <w:t>尿病等慢性病病例进行登记管理、定期随访和健康指导。</w:t>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rPr>
        <w:t>.对辖</w:t>
      </w:r>
      <w:r>
        <w:rPr>
          <w:rFonts w:hint="default" w:ascii="Times New Roman" w:hAnsi="Times New Roman" w:eastAsia="方正仿宋_GBK" w:cs="Times New Roman"/>
          <w:sz w:val="32"/>
          <w:szCs w:val="32"/>
        </w:rPr>
        <w:t>区重型精神疾病患者进行登记管理、治疗随访和康复指导。</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.协</w:t>
      </w:r>
      <w:r>
        <w:rPr>
          <w:rFonts w:hint="default" w:ascii="Times New Roman" w:hAnsi="Times New Roman" w:eastAsia="方正仿宋_GBK" w:cs="Times New Roman"/>
          <w:sz w:val="32"/>
          <w:szCs w:val="32"/>
        </w:rPr>
        <w:t>助处理辖区内突发公共卫生事件。</w:t>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rPr>
        <w:t>.提供计划生育</w:t>
      </w:r>
      <w:r>
        <w:rPr>
          <w:rFonts w:hint="default" w:ascii="Times New Roman" w:hAnsi="Times New Roman" w:eastAsia="方正仿宋_GBK" w:cs="Times New Roman"/>
          <w:sz w:val="32"/>
          <w:szCs w:val="32"/>
        </w:rPr>
        <w:t>技术指导服</w:t>
      </w:r>
      <w:r>
        <w:rPr>
          <w:rFonts w:hint="default" w:ascii="Times New Roman" w:hAnsi="Times New Roman" w:eastAsia="方正仿宋_GBK" w:cs="Times New Roman"/>
          <w:sz w:val="32"/>
          <w:szCs w:val="32"/>
        </w:rPr>
        <w:t>务。</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t>.对辖区诊所、学校开展卫生协管</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rPr>
        <w:t>.卫生行政部门规</w:t>
      </w:r>
      <w:r>
        <w:rPr>
          <w:rFonts w:hint="default" w:ascii="Times New Roman" w:hAnsi="Times New Roman" w:eastAsia="方正仿宋_GBK" w:cs="Times New Roman"/>
          <w:sz w:val="32"/>
          <w:szCs w:val="32"/>
        </w:rPr>
        <w:t>定的其他公共卫生服务。</w:t>
      </w: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rPr>
        <w:t>.一般常见病、多发病的诊疗、护理和</w:t>
      </w:r>
      <w:r>
        <w:rPr>
          <w:rFonts w:hint="default" w:ascii="Times New Roman" w:hAnsi="Times New Roman" w:eastAsia="方正仿宋_GBK" w:cs="Times New Roman"/>
          <w:sz w:val="32"/>
          <w:szCs w:val="32"/>
        </w:rPr>
        <w:t>诊断明确的慢性病的治疗。</w:t>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rPr>
        <w:t>.社区现场应急救护。</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rPr>
        <w:t>.家庭出诊、</w:t>
      </w:r>
      <w:r>
        <w:rPr>
          <w:rFonts w:hint="default" w:ascii="Times New Roman" w:hAnsi="Times New Roman" w:eastAsia="方正仿宋_GBK" w:cs="Times New Roman"/>
          <w:sz w:val="32"/>
          <w:szCs w:val="32"/>
        </w:rPr>
        <w:t>家庭护理等家庭医疗服务。</w:t>
      </w:r>
      <w:r>
        <w:rPr>
          <w:rFonts w:hint="default" w:ascii="Times New Roman" w:hAnsi="Times New Roman" w:eastAsia="方正仿宋_GBK" w:cs="Times New Roman"/>
          <w:sz w:val="32"/>
          <w:szCs w:val="32"/>
        </w:rPr>
        <w:t>17</w:t>
      </w:r>
      <w:r>
        <w:rPr>
          <w:rFonts w:hint="default" w:ascii="Times New Roman" w:hAnsi="Times New Roman" w:eastAsia="方正仿宋_GBK" w:cs="Times New Roman"/>
          <w:sz w:val="32"/>
          <w:szCs w:val="32"/>
        </w:rPr>
        <w:t>.转诊服务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t>.康复服务。</w:t>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t>.卫生</w:t>
      </w:r>
      <w:r>
        <w:rPr>
          <w:rFonts w:hint="default" w:ascii="Times New Roman" w:hAnsi="Times New Roman" w:eastAsia="方正仿宋_GBK" w:cs="Times New Roman"/>
          <w:sz w:val="32"/>
          <w:szCs w:val="32"/>
        </w:rPr>
        <w:t>行政部门批准的其他适宜的医疗服务。</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rPr>
        <w:t>.推行双向转诊制度。</w:t>
      </w:r>
      <w:r>
        <w:rPr>
          <w:rFonts w:hint="default" w:ascii="Times New Roman" w:hAnsi="Times New Roman" w:eastAsia="方正仿宋_GBK" w:cs="Times New Roman"/>
          <w:sz w:val="32"/>
          <w:szCs w:val="32"/>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履行城镇职工医疗保险、城镇居民医疗保险定点</w:t>
      </w:r>
      <w:r>
        <w:rPr>
          <w:rFonts w:hint="default" w:ascii="Times New Roman" w:hAnsi="Times New Roman" w:eastAsia="方正仿宋_GBK" w:cs="Times New Roman"/>
          <w:sz w:val="32"/>
          <w:szCs w:val="32"/>
        </w:rPr>
        <w:t>机构职责。</w:t>
      </w: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rPr>
        <w:t>.卫生行政部门交办的其他事宜。</w:t>
      </w:r>
    </w:p>
    <w:p w14:paraId="631AF94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（二）机构设置</w:t>
      </w:r>
    </w:p>
    <w:p w14:paraId="55E31DC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中心设有家庭医生工作室、预防保健科、中医骨科、中医内</w:t>
      </w:r>
      <w:r>
        <w:rPr>
          <w:rFonts w:hint="default" w:ascii="Times New Roman" w:hAnsi="Times New Roman" w:eastAsia="方正仿宋_GBK" w:cs="Times New Roman"/>
          <w:sz w:val="32"/>
          <w:szCs w:val="32"/>
        </w:rPr>
        <w:t>科、中医康复科、儿科、外科、口腔科、检验科、、B超室、药剂</w:t>
      </w:r>
      <w:r>
        <w:rPr>
          <w:rFonts w:hint="default" w:ascii="Times New Roman" w:hAnsi="Times New Roman" w:eastAsia="方正仿宋_GBK" w:cs="Times New Roman"/>
          <w:sz w:val="32"/>
          <w:szCs w:val="32"/>
        </w:rPr>
        <w:t>科、放射科等职能科室。</w:t>
      </w:r>
    </w:p>
    <w:p w14:paraId="32FF90D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二、部门决算情况说明</w:t>
      </w:r>
    </w:p>
    <w:p w14:paraId="354D6F3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（一）收入支出决算总体情况说明</w:t>
      </w:r>
    </w:p>
    <w:p w14:paraId="6D9DEF6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rPr>
        <w:t>2023年度收入总计5839.42万元，支出总计</w:t>
      </w:r>
      <w:r>
        <w:rPr>
          <w:rFonts w:hint="default" w:ascii="Times New Roman" w:hAnsi="Times New Roman" w:eastAsia="方正仿宋_GBK" w:cs="Times New Roman"/>
          <w:sz w:val="32"/>
          <w:szCs w:val="32"/>
        </w:rPr>
        <w:t>5839.42万元。收支较上年决算数增加1528.4</w:t>
      </w:r>
      <w:r>
        <w:rPr>
          <w:rFonts w:hint="default" w:ascii="Times New Roman" w:hAnsi="Times New Roman" w:eastAsia="方正仿宋_GBK" w:cs="Times New Roman"/>
          <w:sz w:val="32"/>
          <w:szCs w:val="32"/>
        </w:rPr>
        <w:t>8万元，增长35.46%，</w:t>
      </w:r>
      <w:r>
        <w:rPr>
          <w:rFonts w:hint="default" w:ascii="Times New Roman" w:hAnsi="Times New Roman" w:eastAsia="方正仿宋_GBK" w:cs="Times New Roman"/>
          <w:sz w:val="32"/>
          <w:szCs w:val="32"/>
        </w:rPr>
        <w:t>主要原因是新冠疫情结束，恢复正常就医秩序，业务量增长。</w:t>
      </w:r>
    </w:p>
    <w:p w14:paraId="54DC13A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w:t>
      </w:r>
      <w:r>
        <w:rPr>
          <w:rFonts w:hint="default" w:ascii="Times New Roman" w:hAnsi="Times New Roman" w:eastAsia="方正仿宋_GBK" w:cs="Times New Roman"/>
          <w:sz w:val="32"/>
          <w:szCs w:val="32"/>
        </w:rPr>
        <w:t>2023年度收入合计5743.03万元，较上年决算</w:t>
      </w:r>
      <w:r>
        <w:rPr>
          <w:rFonts w:hint="default" w:ascii="Times New Roman" w:hAnsi="Times New Roman" w:eastAsia="方正仿宋_GBK" w:cs="Times New Roman"/>
          <w:sz w:val="32"/>
          <w:szCs w:val="32"/>
        </w:rPr>
        <w:t>数增加1457.89万元，增长34.02%，主要原因是新冠疫情结束，</w:t>
      </w:r>
      <w:r>
        <w:rPr>
          <w:rFonts w:hint="default" w:ascii="Times New Roman" w:hAnsi="Times New Roman" w:eastAsia="方正仿宋_GBK" w:cs="Times New Roman"/>
          <w:sz w:val="32"/>
          <w:szCs w:val="32"/>
        </w:rPr>
        <w:t>恢复正常就医秩序，业务量增长。其中：财政拨款收入2006.44</w:t>
      </w:r>
      <w:r>
        <w:rPr>
          <w:rFonts w:hint="default" w:ascii="Times New Roman" w:hAnsi="Times New Roman" w:eastAsia="方正仿宋_GBK" w:cs="Times New Roman"/>
          <w:sz w:val="32"/>
          <w:szCs w:val="32"/>
        </w:rPr>
        <w:t>万元，占34.94%；事业收入3601</w:t>
      </w:r>
      <w:r>
        <w:rPr>
          <w:rFonts w:hint="default" w:ascii="Times New Roman" w:hAnsi="Times New Roman" w:eastAsia="方正仿宋_GBK" w:cs="Times New Roman"/>
          <w:sz w:val="32"/>
          <w:szCs w:val="32"/>
        </w:rPr>
        <w:t>.35万元，占62.71%；经营收入</w:t>
      </w:r>
      <w:r>
        <w:rPr>
          <w:rFonts w:hint="default" w:ascii="Times New Roman" w:hAnsi="Times New Roman" w:eastAsia="方正仿宋_GBK" w:cs="Times New Roman"/>
          <w:sz w:val="32"/>
          <w:szCs w:val="32"/>
        </w:rPr>
        <w:t>0.00万元，占0.00%；其他收入</w:t>
      </w:r>
      <w:r>
        <w:rPr>
          <w:rFonts w:hint="default" w:ascii="Times New Roman" w:hAnsi="Times New Roman" w:eastAsia="方正仿宋_GBK" w:cs="Times New Roman"/>
          <w:sz w:val="32"/>
          <w:szCs w:val="32"/>
        </w:rPr>
        <w:t>135.24万元，占2.35%。此外，</w:t>
      </w:r>
      <w:r>
        <w:rPr>
          <w:rFonts w:hint="default" w:ascii="Times New Roman" w:hAnsi="Times New Roman" w:eastAsia="方正仿宋_GBK" w:cs="Times New Roman"/>
          <w:sz w:val="32"/>
          <w:szCs w:val="32"/>
        </w:rPr>
        <w:t>使用非财政拨款结余和专用结余0.00万元，年初结转和结</w:t>
      </w:r>
      <w:r>
        <w:rPr>
          <w:rFonts w:hint="default" w:ascii="Times New Roman" w:hAnsi="Times New Roman" w:eastAsia="方正仿宋_GBK" w:cs="Times New Roman"/>
          <w:sz w:val="32"/>
          <w:szCs w:val="32"/>
        </w:rPr>
        <w:t>余96.39</w:t>
      </w:r>
      <w:r>
        <w:rPr>
          <w:rFonts w:hint="default" w:ascii="Times New Roman" w:hAnsi="Times New Roman" w:eastAsia="方正仿宋_GBK" w:cs="Times New Roman"/>
          <w:sz w:val="32"/>
          <w:szCs w:val="32"/>
        </w:rPr>
        <w:t>万元。</w:t>
      </w:r>
    </w:p>
    <w:p w14:paraId="56AF628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w:t>
      </w:r>
      <w:r>
        <w:rPr>
          <w:rFonts w:hint="default" w:ascii="Times New Roman" w:hAnsi="Times New Roman" w:eastAsia="方正仿宋_GBK" w:cs="Times New Roman"/>
          <w:sz w:val="32"/>
          <w:szCs w:val="32"/>
        </w:rPr>
        <w:t>2023年度支出合计5620.</w:t>
      </w:r>
      <w:r>
        <w:rPr>
          <w:rFonts w:hint="default" w:ascii="Times New Roman" w:hAnsi="Times New Roman" w:eastAsia="方正仿宋_GBK" w:cs="Times New Roman"/>
          <w:sz w:val="32"/>
          <w:szCs w:val="32"/>
        </w:rPr>
        <w:t>91万元，较上年决算</w:t>
      </w:r>
      <w:r>
        <w:rPr>
          <w:rFonts w:hint="default" w:ascii="Times New Roman" w:hAnsi="Times New Roman" w:eastAsia="方正仿宋_GBK" w:cs="Times New Roman"/>
          <w:sz w:val="32"/>
          <w:szCs w:val="32"/>
        </w:rPr>
        <w:t>数增加1406.36万元，增长33.37%，主要原因是新冠疫情结束，</w:t>
      </w:r>
      <w:r>
        <w:rPr>
          <w:rFonts w:hint="default" w:ascii="Times New Roman" w:hAnsi="Times New Roman" w:eastAsia="方正仿宋_GBK" w:cs="Times New Roman"/>
          <w:sz w:val="32"/>
          <w:szCs w:val="32"/>
        </w:rPr>
        <w:t>恢复正常医疗秩序，业务量增长。其中：基本支出4009.82万元，</w:t>
      </w:r>
      <w:r>
        <w:rPr>
          <w:rFonts w:hint="default" w:ascii="Times New Roman" w:hAnsi="Times New Roman" w:eastAsia="方正仿宋_GBK" w:cs="Times New Roman"/>
          <w:sz w:val="32"/>
          <w:szCs w:val="32"/>
        </w:rPr>
        <w:t>占71.34%；项目支出1611.09万元，占28.66%</w:t>
      </w:r>
      <w:r>
        <w:rPr>
          <w:rFonts w:hint="default" w:ascii="Times New Roman" w:hAnsi="Times New Roman" w:eastAsia="方正仿宋_GBK" w:cs="Times New Roman"/>
          <w:sz w:val="32"/>
          <w:szCs w:val="32"/>
        </w:rPr>
        <w:t>；经营支出0.00</w:t>
      </w:r>
      <w:r>
        <w:rPr>
          <w:rFonts w:hint="default" w:ascii="Times New Roman" w:hAnsi="Times New Roman" w:eastAsia="方正仿宋_GBK" w:cs="Times New Roman"/>
          <w:sz w:val="32"/>
          <w:szCs w:val="32"/>
        </w:rPr>
        <w:t>万元，占0.00%。此外，结余分配218.5</w:t>
      </w:r>
      <w:r>
        <w:rPr>
          <w:rFonts w:hint="default" w:ascii="Times New Roman" w:hAnsi="Times New Roman" w:eastAsia="方正仿宋_GBK" w:cs="Times New Roman"/>
          <w:sz w:val="32"/>
          <w:szCs w:val="32"/>
        </w:rPr>
        <w:t>1万元。</w:t>
      </w:r>
    </w:p>
    <w:p w14:paraId="7768BD7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w:t>
      </w:r>
      <w:r>
        <w:rPr>
          <w:rFonts w:hint="default" w:ascii="Times New Roman" w:hAnsi="Times New Roman" w:eastAsia="方正仿宋_GBK" w:cs="Times New Roman"/>
          <w:sz w:val="32"/>
          <w:szCs w:val="32"/>
        </w:rPr>
        <w:t>2023年度年末结转和结余0.00万元，较上</w:t>
      </w:r>
      <w:r>
        <w:rPr>
          <w:rFonts w:hint="default" w:ascii="Times New Roman" w:hAnsi="Times New Roman" w:eastAsia="方正仿宋_GBK" w:cs="Times New Roman"/>
          <w:sz w:val="32"/>
          <w:szCs w:val="32"/>
        </w:rPr>
        <w:t>年决算数减少96.39万元，下降100.00%，主要原</w:t>
      </w:r>
      <w:r>
        <w:rPr>
          <w:rFonts w:hint="default" w:ascii="Times New Roman" w:hAnsi="Times New Roman" w:eastAsia="方正仿宋_GBK" w:cs="Times New Roman"/>
          <w:sz w:val="32"/>
          <w:szCs w:val="32"/>
        </w:rPr>
        <w:t>因是投入信息化</w:t>
      </w:r>
      <w:r>
        <w:rPr>
          <w:rFonts w:hint="default" w:ascii="Times New Roman" w:hAnsi="Times New Roman" w:eastAsia="方正仿宋_GBK" w:cs="Times New Roman"/>
          <w:sz w:val="32"/>
          <w:szCs w:val="32"/>
        </w:rPr>
        <w:t>建设。</w:t>
      </w:r>
    </w:p>
    <w:p w14:paraId="3AE2CC8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（二）财政拨款收入支出决算总体情况说明</w:t>
      </w:r>
    </w:p>
    <w:p w14:paraId="2419FAB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2023年度财政拨款收、支总计2032.06万元。与202</w:t>
      </w:r>
      <w:r>
        <w:rPr>
          <w:rFonts w:hint="default" w:ascii="Times New Roman" w:hAnsi="Times New Roman" w:eastAsia="方正仿宋_GBK" w:cs="Times New Roman"/>
          <w:sz w:val="32"/>
          <w:szCs w:val="32"/>
        </w:rPr>
        <w:t>2年相比，</w:t>
      </w:r>
      <w:r>
        <w:rPr>
          <w:rFonts w:hint="default" w:ascii="Times New Roman" w:hAnsi="Times New Roman" w:eastAsia="方正仿宋_GBK" w:cs="Times New Roman"/>
          <w:sz w:val="32"/>
          <w:szCs w:val="32"/>
        </w:rPr>
        <w:t>财政拨款收、支总计各增加850.55万元，增长71.99%。主要原因</w:t>
      </w:r>
      <w:r>
        <w:rPr>
          <w:rFonts w:hint="default" w:ascii="Times New Roman" w:hAnsi="Times New Roman" w:eastAsia="方正仿宋_GBK" w:cs="Times New Roman"/>
          <w:sz w:val="32"/>
          <w:szCs w:val="32"/>
        </w:rPr>
        <w:t>是新冠疫情结束，医疗服务人次增加。</w:t>
      </w:r>
    </w:p>
    <w:p w14:paraId="109481D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（三）一般公共预算财政拨款收入支出决算情况说明</w:t>
      </w:r>
    </w:p>
    <w:p w14:paraId="65CB8A6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w:t>
      </w:r>
      <w:r>
        <w:rPr>
          <w:rFonts w:hint="default" w:ascii="Times New Roman" w:hAnsi="Times New Roman" w:eastAsia="方正仿宋_GBK" w:cs="Times New Roman"/>
          <w:sz w:val="32"/>
          <w:szCs w:val="32"/>
        </w:rPr>
        <w:t>2023年度一般公共预算财政拨款收入2006.44</w:t>
      </w:r>
      <w:r>
        <w:rPr>
          <w:rFonts w:hint="default" w:ascii="Times New Roman" w:hAnsi="Times New Roman" w:eastAsia="方正仿宋_GBK" w:cs="Times New Roman"/>
          <w:sz w:val="32"/>
          <w:szCs w:val="32"/>
        </w:rPr>
        <w:t>万元，较上年决算数增加850.73万元，增长73.61%。主要原因是</w:t>
      </w:r>
      <w:r>
        <w:rPr>
          <w:rFonts w:hint="default" w:ascii="Times New Roman" w:hAnsi="Times New Roman" w:eastAsia="方正仿宋_GBK" w:cs="Times New Roman"/>
          <w:sz w:val="32"/>
          <w:szCs w:val="32"/>
        </w:rPr>
        <w:t>新冠疫情结束，恢复正常就医秩序，业务量增长。较年初预算数</w:t>
      </w:r>
      <w:r>
        <w:rPr>
          <w:rFonts w:hint="default" w:ascii="Times New Roman" w:hAnsi="Times New Roman" w:eastAsia="方正仿宋_GBK" w:cs="Times New Roman"/>
          <w:sz w:val="32"/>
          <w:szCs w:val="32"/>
        </w:rPr>
        <w:t>增加1559.88万元，增长349.31%。主要原因是新冠疫情影响消除，</w:t>
      </w:r>
      <w:r>
        <w:rPr>
          <w:rFonts w:hint="default" w:ascii="Times New Roman" w:hAnsi="Times New Roman" w:eastAsia="方正仿宋_GBK" w:cs="Times New Roman"/>
          <w:sz w:val="32"/>
          <w:szCs w:val="32"/>
        </w:rPr>
        <w:t>医疗服务人次增加。此外，年初财政拨款结转和结余25.62万元。</w:t>
      </w:r>
    </w:p>
    <w:p w14:paraId="065B711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w:t>
      </w:r>
      <w:r>
        <w:rPr>
          <w:rFonts w:hint="default" w:ascii="Times New Roman" w:hAnsi="Times New Roman" w:eastAsia="方正仿宋_GBK" w:cs="Times New Roman"/>
          <w:sz w:val="32"/>
          <w:szCs w:val="32"/>
        </w:rPr>
        <w:t>2023年度一般公共预算财政拨款支出2032.06</w:t>
      </w:r>
      <w:r>
        <w:rPr>
          <w:rFonts w:hint="default" w:ascii="Times New Roman" w:hAnsi="Times New Roman" w:eastAsia="方正仿宋_GBK" w:cs="Times New Roman"/>
          <w:sz w:val="32"/>
          <w:szCs w:val="32"/>
        </w:rPr>
        <w:t>万元，较上年决算数增加876.17万元，增长75.80%。主要原因是</w:t>
      </w:r>
      <w:r>
        <w:rPr>
          <w:rFonts w:hint="default" w:ascii="Times New Roman" w:hAnsi="Times New Roman" w:eastAsia="方正仿宋_GBK" w:cs="Times New Roman"/>
          <w:sz w:val="32"/>
          <w:szCs w:val="32"/>
        </w:rPr>
        <w:t>新冠疫情结束，恢复正常就医秩序，业务量增长。较年初预算数</w:t>
      </w:r>
      <w:r>
        <w:rPr>
          <w:rFonts w:hint="default" w:ascii="Times New Roman" w:hAnsi="Times New Roman" w:eastAsia="方正仿宋_GBK" w:cs="Times New Roman"/>
          <w:sz w:val="32"/>
          <w:szCs w:val="32"/>
        </w:rPr>
        <w:t>增加1585.50万元，增长355.05%。主要原因是新冠疫情影响消除，</w:t>
      </w:r>
      <w:r>
        <w:rPr>
          <w:rFonts w:hint="default" w:ascii="Times New Roman" w:hAnsi="Times New Roman" w:eastAsia="方正仿宋_GBK" w:cs="Times New Roman"/>
          <w:sz w:val="32"/>
          <w:szCs w:val="32"/>
        </w:rPr>
        <w:t>医疗服务人次增加。</w:t>
      </w:r>
    </w:p>
    <w:p w14:paraId="5CBC0AF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w:t>
      </w:r>
      <w:r>
        <w:rPr>
          <w:rFonts w:hint="default" w:ascii="Times New Roman" w:hAnsi="Times New Roman" w:eastAsia="方正仿宋_GBK" w:cs="Times New Roman"/>
          <w:sz w:val="32"/>
          <w:szCs w:val="32"/>
        </w:rPr>
        <w:t>2023年度年末一般公</w:t>
      </w:r>
      <w:r>
        <w:rPr>
          <w:rFonts w:hint="default" w:ascii="Times New Roman" w:hAnsi="Times New Roman" w:eastAsia="方正仿宋_GBK" w:cs="Times New Roman"/>
          <w:sz w:val="32"/>
          <w:szCs w:val="32"/>
        </w:rPr>
        <w:t>共预算财政拨款结转</w:t>
      </w:r>
      <w:r>
        <w:rPr>
          <w:rFonts w:hint="default" w:ascii="Times New Roman" w:hAnsi="Times New Roman" w:eastAsia="方正仿宋_GBK" w:cs="Times New Roman"/>
          <w:sz w:val="32"/>
          <w:szCs w:val="32"/>
        </w:rPr>
        <w:t>和结余0.00万元，较上年决算数减少25.62万元，下降100.00%，</w:t>
      </w:r>
      <w:r>
        <w:rPr>
          <w:rFonts w:hint="default" w:ascii="Times New Roman" w:hAnsi="Times New Roman" w:eastAsia="方正仿宋_GBK" w:cs="Times New Roman"/>
          <w:sz w:val="32"/>
          <w:szCs w:val="32"/>
        </w:rPr>
        <w:t>主要原因是投入信息化建设。</w:t>
      </w:r>
    </w:p>
    <w:p w14:paraId="7AE6CA1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w:t>
      </w:r>
      <w:r>
        <w:rPr>
          <w:rFonts w:hint="default" w:ascii="Times New Roman" w:hAnsi="Times New Roman" w:eastAsia="方正仿宋_GBK" w:cs="Times New Roman"/>
          <w:sz w:val="32"/>
          <w:szCs w:val="32"/>
        </w:rPr>
        <w:t>本部门2023年度一般公共预算财政拨款支出</w:t>
      </w:r>
      <w:r>
        <w:rPr>
          <w:rFonts w:hint="default" w:ascii="Times New Roman" w:hAnsi="Times New Roman" w:eastAsia="方正仿宋_GBK" w:cs="Times New Roman"/>
          <w:sz w:val="32"/>
          <w:szCs w:val="32"/>
        </w:rPr>
        <w:t>主要用于以下几个方面：</w:t>
      </w:r>
    </w:p>
    <w:p w14:paraId="176628D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（1）国防支出0.13万元，占0.01%，较年初预算数增加0.13</w:t>
      </w:r>
      <w:r>
        <w:rPr>
          <w:rFonts w:hint="default" w:ascii="Times New Roman" w:hAnsi="Times New Roman" w:eastAsia="方正仿宋_GBK" w:cs="Times New Roman"/>
          <w:sz w:val="32"/>
          <w:szCs w:val="32"/>
        </w:rPr>
        <w:t>万元，增长100.00%，主要原因是开展民兵工作。</w:t>
      </w:r>
    </w:p>
    <w:p w14:paraId="165F427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（2）社会保障与就业支出196.66万元，占9.68%，较年初预</w:t>
      </w:r>
      <w:r>
        <w:rPr>
          <w:rFonts w:hint="default" w:ascii="Times New Roman" w:hAnsi="Times New Roman" w:eastAsia="方正仿宋_GBK" w:cs="Times New Roman"/>
          <w:sz w:val="32"/>
          <w:szCs w:val="32"/>
        </w:rPr>
        <w:t>算数增加9.28万元，增长4.95%，主要原因是退休人员增加。</w:t>
      </w:r>
    </w:p>
    <w:p w14:paraId="08784A0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（3）卫生健康支出1828.86万元，占90.00%，较年初预算数</w:t>
      </w:r>
      <w:r>
        <w:rPr>
          <w:rFonts w:hint="default" w:ascii="Times New Roman" w:hAnsi="Times New Roman" w:eastAsia="方正仿宋_GBK" w:cs="Times New Roman"/>
          <w:sz w:val="32"/>
          <w:szCs w:val="32"/>
        </w:rPr>
        <w:t>增加1574.98万元，增长620.36%，主要</w:t>
      </w:r>
      <w:r>
        <w:rPr>
          <w:rFonts w:hint="default" w:ascii="Times New Roman" w:hAnsi="Times New Roman" w:eastAsia="方正仿宋_GBK" w:cs="Times New Roman"/>
          <w:sz w:val="32"/>
          <w:szCs w:val="32"/>
        </w:rPr>
        <w:t>原因是新冠疫情影响消除，</w:t>
      </w:r>
      <w:r>
        <w:rPr>
          <w:rFonts w:hint="default" w:ascii="Times New Roman" w:hAnsi="Times New Roman" w:eastAsia="方正仿宋_GBK" w:cs="Times New Roman"/>
          <w:sz w:val="32"/>
          <w:szCs w:val="32"/>
        </w:rPr>
        <w:t>医疗服务人次增加。</w:t>
      </w:r>
    </w:p>
    <w:p w14:paraId="30B8158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（4）住房保障支出6.40万元，占0.31%，较年初预算数增加1.10万元，增长20.75%，主要原因是人员增加。</w:t>
      </w:r>
    </w:p>
    <w:p w14:paraId="738A437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（四）一般公共预算财政拨款基本支出决算情况说明</w:t>
      </w:r>
    </w:p>
    <w:p w14:paraId="7B2956A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2023年度一般公共财政拨款基本支出491.74万元。其中：</w:t>
      </w:r>
      <w:r>
        <w:rPr>
          <w:rFonts w:hint="default" w:ascii="Times New Roman" w:hAnsi="Times New Roman" w:eastAsia="方正仿宋_GBK" w:cs="Times New Roman"/>
          <w:sz w:val="32"/>
          <w:szCs w:val="32"/>
        </w:rPr>
        <w:t>人员经费491.74万元，较上年决算数增加52.04</w:t>
      </w:r>
      <w:r>
        <w:rPr>
          <w:rFonts w:hint="default" w:ascii="Times New Roman" w:hAnsi="Times New Roman" w:eastAsia="方正仿宋_GBK" w:cs="Times New Roman"/>
          <w:sz w:val="32"/>
          <w:szCs w:val="32"/>
        </w:rPr>
        <w:t>万元，增长11.84%，</w:t>
      </w:r>
      <w:r>
        <w:rPr>
          <w:rFonts w:hint="default" w:ascii="Times New Roman" w:hAnsi="Times New Roman" w:eastAsia="方正仿宋_GBK" w:cs="Times New Roman"/>
          <w:sz w:val="32"/>
          <w:szCs w:val="32"/>
        </w:rPr>
        <w:t>主要原因是人员变动。人员经费用途主要包括基本工资、津贴补</w:t>
      </w:r>
      <w:r>
        <w:rPr>
          <w:rFonts w:hint="default" w:ascii="Times New Roman" w:hAnsi="Times New Roman" w:eastAsia="方正仿宋_GBK" w:cs="Times New Roman"/>
          <w:sz w:val="32"/>
          <w:szCs w:val="32"/>
        </w:rPr>
        <w:t>贴、社会保险缴费。</w:t>
      </w:r>
    </w:p>
    <w:p w14:paraId="2DB3DF7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（五）政府性基金预算收支决算情况说明</w:t>
      </w:r>
    </w:p>
    <w:p w14:paraId="3F403AC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本部门2023年度无政府性基金预算财政拨款收支。</w:t>
      </w:r>
    </w:p>
    <w:p w14:paraId="4B7FA84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（六）国有资本经营预算财政拨款支出决算情况说明</w:t>
      </w:r>
    </w:p>
    <w:p w14:paraId="05F251D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本部门2023年度无国有资本经营预算财政拨款支出。</w:t>
      </w:r>
    </w:p>
    <w:p w14:paraId="6FCAFB6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三、“三公”经费情况说明</w:t>
      </w:r>
    </w:p>
    <w:p w14:paraId="49E30D4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（一）“三公”经费支出总体情况说明</w:t>
      </w:r>
    </w:p>
    <w:p w14:paraId="69E1019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2023年度“三公”经费支出共计0.00万元，较年初预算数无</w:t>
      </w:r>
      <w:r>
        <w:rPr>
          <w:rFonts w:hint="default" w:ascii="Times New Roman" w:hAnsi="Times New Roman" w:eastAsia="方正仿宋_GBK" w:cs="Times New Roman"/>
          <w:sz w:val="32"/>
          <w:szCs w:val="32"/>
        </w:rPr>
        <w:t>增减，主要原因是我单位属于差额拨款单位，财政未保障我单位</w:t>
      </w:r>
      <w:r>
        <w:rPr>
          <w:rFonts w:hint="default" w:ascii="Times New Roman" w:hAnsi="Times New Roman" w:eastAsia="方正仿宋_GBK" w:cs="Times New Roman"/>
          <w:sz w:val="32"/>
          <w:szCs w:val="32"/>
        </w:rPr>
        <w:t>“三公”经费。较上年支出数无增减，主要原因是我单位属于差</w:t>
      </w:r>
      <w:r>
        <w:rPr>
          <w:rFonts w:hint="default" w:ascii="Times New Roman" w:hAnsi="Times New Roman" w:eastAsia="方正仿宋_GBK" w:cs="Times New Roman"/>
          <w:sz w:val="32"/>
          <w:szCs w:val="32"/>
        </w:rPr>
        <w:t>额拨款单位，财政未保障我单位“三公”经费。</w:t>
      </w:r>
    </w:p>
    <w:p w14:paraId="1FC5BA8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（二）“三公”经费分项支出情况</w:t>
      </w:r>
    </w:p>
    <w:p w14:paraId="6290A7C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2023年度本部门因公出国（境）费用0.00万元。费用支出较</w:t>
      </w:r>
      <w:r>
        <w:rPr>
          <w:rFonts w:hint="default" w:ascii="Times New Roman" w:hAnsi="Times New Roman" w:eastAsia="方正仿宋_GBK" w:cs="Times New Roman"/>
          <w:sz w:val="32"/>
          <w:szCs w:val="32"/>
        </w:rPr>
        <w:t>年初预算数无增减，主要原因是我单位属于差额拨款单位，财政未保障我单位因公出国（境）经费。较上年支出数无增减，主要</w:t>
      </w:r>
      <w:r>
        <w:rPr>
          <w:rFonts w:hint="default" w:ascii="Times New Roman" w:hAnsi="Times New Roman" w:eastAsia="方正仿宋_GBK" w:cs="Times New Roman"/>
          <w:sz w:val="32"/>
          <w:szCs w:val="32"/>
        </w:rPr>
        <w:t>原因是我单位属于差额拨款单位，财政未保障我</w:t>
      </w:r>
      <w:r>
        <w:rPr>
          <w:rFonts w:hint="default" w:ascii="Times New Roman" w:hAnsi="Times New Roman" w:eastAsia="方正仿宋_GBK" w:cs="Times New Roman"/>
          <w:sz w:val="32"/>
          <w:szCs w:val="32"/>
        </w:rPr>
        <w:t>单位因公出国</w:t>
      </w:r>
      <w:r>
        <w:rPr>
          <w:rFonts w:hint="default" w:ascii="Times New Roman" w:hAnsi="Times New Roman" w:eastAsia="方正仿宋_GBK" w:cs="Times New Roman"/>
          <w:sz w:val="32"/>
          <w:szCs w:val="32"/>
        </w:rPr>
        <w:t>（境）经费。</w:t>
      </w:r>
    </w:p>
    <w:p w14:paraId="4448DCA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公务车购置费0.00万元。费用支出较年初预算数无增减，主</w:t>
      </w:r>
      <w:r>
        <w:rPr>
          <w:rFonts w:hint="default" w:ascii="Times New Roman" w:hAnsi="Times New Roman" w:eastAsia="方正仿宋_GBK" w:cs="Times New Roman"/>
          <w:sz w:val="32"/>
          <w:szCs w:val="32"/>
        </w:rPr>
        <w:t>要原因是我单位属于差额拨款单位，财政未保障我单位公务车购置费。较上年支出数无增减，主要原因是我单位属于差额拨款单</w:t>
      </w:r>
      <w:r>
        <w:rPr>
          <w:rFonts w:hint="default" w:ascii="Times New Roman" w:hAnsi="Times New Roman" w:eastAsia="方正仿宋_GBK" w:cs="Times New Roman"/>
          <w:sz w:val="32"/>
          <w:szCs w:val="32"/>
        </w:rPr>
        <w:t>位，财政未保障我单位公务车购置费。</w:t>
      </w:r>
    </w:p>
    <w:p w14:paraId="353792C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公务车运行维护费0.00万元。费用支出较</w:t>
      </w:r>
      <w:r>
        <w:rPr>
          <w:rFonts w:hint="default" w:ascii="Times New Roman" w:hAnsi="Times New Roman" w:eastAsia="方正仿宋_GBK" w:cs="Times New Roman"/>
          <w:sz w:val="32"/>
          <w:szCs w:val="32"/>
        </w:rPr>
        <w:t>年初预算数无增</w:t>
      </w:r>
      <w:r>
        <w:rPr>
          <w:rFonts w:hint="default" w:ascii="Times New Roman" w:hAnsi="Times New Roman" w:eastAsia="方正仿宋_GBK" w:cs="Times New Roman"/>
          <w:sz w:val="32"/>
          <w:szCs w:val="32"/>
        </w:rPr>
        <w:t>减，主要原因是我单位属于差额拨款单位，财政未保障我单位公务车运行维护费。较上年支出数无增减，主要原因是财政未保障</w:t>
      </w:r>
      <w:r>
        <w:rPr>
          <w:rFonts w:hint="default" w:ascii="Times New Roman" w:hAnsi="Times New Roman" w:eastAsia="方正仿宋_GBK" w:cs="Times New Roman"/>
          <w:sz w:val="32"/>
          <w:szCs w:val="32"/>
        </w:rPr>
        <w:t>我单位公务车运行维护费。</w:t>
      </w:r>
    </w:p>
    <w:p w14:paraId="0F08347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公务接待费0.00万元，主要用于接待。费用支出较年初预算</w:t>
      </w:r>
      <w:r>
        <w:rPr>
          <w:rFonts w:hint="default" w:ascii="Times New Roman" w:hAnsi="Times New Roman" w:eastAsia="方正仿宋_GBK" w:cs="Times New Roman"/>
          <w:sz w:val="32"/>
          <w:szCs w:val="32"/>
        </w:rPr>
        <w:t>数无增减，主要原因是财政未保障我单位公务接待费。较上年支</w:t>
      </w:r>
      <w:r>
        <w:rPr>
          <w:rFonts w:hint="default" w:ascii="Times New Roman" w:hAnsi="Times New Roman" w:eastAsia="方正仿宋_GBK" w:cs="Times New Roman"/>
          <w:sz w:val="32"/>
          <w:szCs w:val="32"/>
        </w:rPr>
        <w:t>出数无增减，主要原因是财政未保障我单位公务接待费。</w:t>
      </w:r>
    </w:p>
    <w:p w14:paraId="6D25857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（三）“三公”经费实物量情况</w:t>
      </w:r>
    </w:p>
    <w:p w14:paraId="7E216A2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2023年度本部门因公出国（境）共计0个团组，0人；公</w:t>
      </w:r>
      <w:r>
        <w:rPr>
          <w:rFonts w:hint="default" w:ascii="Times New Roman" w:hAnsi="Times New Roman" w:eastAsia="方正仿宋_GBK" w:cs="Times New Roman"/>
          <w:sz w:val="32"/>
          <w:szCs w:val="32"/>
        </w:rPr>
        <w:t>务用车购置0辆，公务车保有量为0辆；国内公务接待0批次0</w:t>
      </w:r>
      <w:r>
        <w:rPr>
          <w:rFonts w:hint="default" w:ascii="Times New Roman" w:hAnsi="Times New Roman" w:eastAsia="方正仿宋_GBK" w:cs="Times New Roman"/>
          <w:sz w:val="32"/>
          <w:szCs w:val="32"/>
        </w:rPr>
        <w:t>人，其中：国内外事接待0批次，0人；国（境）外公务接待0</w:t>
      </w:r>
      <w:r>
        <w:rPr>
          <w:rFonts w:hint="default" w:ascii="Times New Roman" w:hAnsi="Times New Roman" w:eastAsia="方正仿宋_GBK" w:cs="Times New Roman"/>
          <w:sz w:val="32"/>
          <w:szCs w:val="32"/>
        </w:rPr>
        <w:t>批次，0人。2023年本部门人均接待费0元，车均购置费0万元，</w:t>
      </w:r>
      <w:r>
        <w:rPr>
          <w:rFonts w:hint="default" w:ascii="Times New Roman" w:hAnsi="Times New Roman" w:eastAsia="方正仿宋_GBK" w:cs="Times New Roman"/>
          <w:sz w:val="32"/>
          <w:szCs w:val="32"/>
        </w:rPr>
        <w:t>车均维护费0万元。</w:t>
      </w:r>
    </w:p>
    <w:p w14:paraId="3C6D197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四、其他需要说明的事项</w:t>
      </w:r>
    </w:p>
    <w:p w14:paraId="5787ABD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（一）财政拨款会议费和培训费情况说明</w:t>
      </w:r>
    </w:p>
    <w:p w14:paraId="25B7AB8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本年度会议费支出0.00万元，较上年决算数无增减，主要原</w:t>
      </w:r>
      <w:r>
        <w:rPr>
          <w:rFonts w:hint="default" w:ascii="Times New Roman" w:hAnsi="Times New Roman" w:eastAsia="方正仿宋_GBK" w:cs="Times New Roman"/>
          <w:sz w:val="32"/>
          <w:szCs w:val="32"/>
        </w:rPr>
        <w:t>因按照部门决算列报口径，我单位不在机关运行经费统计范围之</w:t>
      </w:r>
      <w:r>
        <w:rPr>
          <w:rFonts w:hint="default" w:ascii="Times New Roman" w:hAnsi="Times New Roman" w:eastAsia="方正仿宋_GBK" w:cs="Times New Roman"/>
          <w:sz w:val="32"/>
          <w:szCs w:val="32"/>
        </w:rPr>
        <w:t>内。本年度培训费支出0.00万元，较上年决算数减少6.26万元，</w:t>
      </w:r>
      <w:r>
        <w:rPr>
          <w:rFonts w:hint="default" w:ascii="Times New Roman" w:hAnsi="Times New Roman" w:eastAsia="方正仿宋_GBK" w:cs="Times New Roman"/>
          <w:sz w:val="32"/>
          <w:szCs w:val="32"/>
        </w:rPr>
        <w:t>下降100.00%，主要原因我单位为差额拨款单位，财政未保障我</w:t>
      </w:r>
      <w:r>
        <w:rPr>
          <w:rFonts w:hint="default" w:ascii="Times New Roman" w:hAnsi="Times New Roman" w:eastAsia="方正仿宋_GBK" w:cs="Times New Roman"/>
          <w:sz w:val="32"/>
          <w:szCs w:val="32"/>
        </w:rPr>
        <w:t>单位培训费。</w:t>
      </w:r>
    </w:p>
    <w:p w14:paraId="4985455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（二）机关运行经费情况说明</w:t>
      </w:r>
    </w:p>
    <w:p w14:paraId="7AB35B3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2023年度本部门机关运行经费支出0.00万元。机关运行经费</w:t>
      </w:r>
      <w:r>
        <w:rPr>
          <w:rFonts w:hint="default" w:ascii="Times New Roman" w:hAnsi="Times New Roman" w:eastAsia="方正仿宋_GBK" w:cs="Times New Roman"/>
          <w:sz w:val="32"/>
          <w:szCs w:val="32"/>
        </w:rPr>
        <w:t>较上年支出数无增减，主要原因是按照部门决算列报口径，我单</w:t>
      </w:r>
      <w:r>
        <w:rPr>
          <w:rFonts w:hint="default" w:ascii="Times New Roman" w:hAnsi="Times New Roman" w:eastAsia="方正仿宋_GBK" w:cs="Times New Roman"/>
          <w:sz w:val="32"/>
          <w:szCs w:val="32"/>
        </w:rPr>
        <w:t>位不在机关运行经费统计范围之内。</w:t>
      </w:r>
    </w:p>
    <w:p w14:paraId="0684BC1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（三）国有资产占用情况说明</w:t>
      </w:r>
    </w:p>
    <w:p w14:paraId="1578096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截至2023年12月31日，本部门共有车辆1辆，其中，副部</w:t>
      </w:r>
      <w:r>
        <w:rPr>
          <w:rFonts w:hint="default" w:ascii="Times New Roman" w:hAnsi="Times New Roman" w:eastAsia="方正仿宋_GBK" w:cs="Times New Roman"/>
          <w:sz w:val="32"/>
          <w:szCs w:val="32"/>
        </w:rPr>
        <w:t>（省）级及以上领导用车0辆、主要负责人用车0辆、机要通信</w:t>
      </w:r>
      <w:r>
        <w:rPr>
          <w:rFonts w:hint="default" w:ascii="Times New Roman" w:hAnsi="Times New Roman" w:eastAsia="方正仿宋_GBK" w:cs="Times New Roman"/>
          <w:sz w:val="32"/>
          <w:szCs w:val="32"/>
        </w:rPr>
        <w:t>用车0辆、应急保障用车0辆、执法执勤用车0辆，特种专业技</w:t>
      </w:r>
      <w:r>
        <w:rPr>
          <w:rFonts w:hint="default" w:ascii="Times New Roman" w:hAnsi="Times New Roman" w:eastAsia="方正仿宋_GBK" w:cs="Times New Roman"/>
          <w:sz w:val="32"/>
          <w:szCs w:val="32"/>
        </w:rPr>
        <w:t>术用车1辆，离退休干部用车0辆。单价100万元（含）以上专</w:t>
      </w:r>
      <w:r>
        <w:rPr>
          <w:rFonts w:hint="default" w:ascii="Times New Roman" w:hAnsi="Times New Roman" w:eastAsia="方正仿宋_GBK" w:cs="Times New Roman"/>
          <w:sz w:val="32"/>
          <w:szCs w:val="32"/>
        </w:rPr>
        <w:t>用设备0台（套）。</w:t>
      </w:r>
    </w:p>
    <w:p w14:paraId="1F5641B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（四）政府采购支出情况说明</w:t>
      </w:r>
    </w:p>
    <w:p w14:paraId="4B60DA9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2023年度本部门政府采购支出总额575</w:t>
      </w:r>
      <w:r>
        <w:rPr>
          <w:rFonts w:hint="default" w:ascii="Times New Roman" w:hAnsi="Times New Roman" w:eastAsia="方正仿宋_GBK" w:cs="Times New Roman"/>
          <w:sz w:val="32"/>
          <w:szCs w:val="32"/>
        </w:rPr>
        <w:t>.43万元，其中：政府采购货物支出575.43万元、政府采购工程</w:t>
      </w:r>
      <w:r>
        <w:rPr>
          <w:rFonts w:hint="default" w:ascii="Times New Roman" w:hAnsi="Times New Roman" w:eastAsia="方正仿宋_GBK" w:cs="Times New Roman"/>
          <w:sz w:val="32"/>
          <w:szCs w:val="32"/>
        </w:rPr>
        <w:t>支出0.00万元、政府采</w:t>
      </w:r>
      <w:r>
        <w:rPr>
          <w:rFonts w:hint="default" w:ascii="Times New Roman" w:hAnsi="Times New Roman" w:eastAsia="方正仿宋_GBK" w:cs="Times New Roman"/>
          <w:sz w:val="32"/>
          <w:szCs w:val="32"/>
        </w:rPr>
        <w:t>购服务支出0.00万元。授予中小企业合同金额0.00万元，占政府</w:t>
      </w:r>
      <w:r>
        <w:rPr>
          <w:rFonts w:hint="default" w:ascii="Times New Roman" w:hAnsi="Times New Roman" w:eastAsia="方正仿宋_GBK" w:cs="Times New Roman"/>
          <w:sz w:val="32"/>
          <w:szCs w:val="32"/>
        </w:rPr>
        <w:t>采购支出总额的0.00%，其中：授予小微企业合同金额0</w:t>
      </w:r>
      <w:r>
        <w:rPr>
          <w:rFonts w:hint="default" w:ascii="Times New Roman" w:hAnsi="Times New Roman" w:eastAsia="方正仿宋_GBK" w:cs="Times New Roman"/>
          <w:sz w:val="32"/>
          <w:szCs w:val="32"/>
        </w:rPr>
        <w:t>.00万元，</w:t>
      </w:r>
      <w:r>
        <w:rPr>
          <w:rFonts w:hint="default" w:ascii="Times New Roman" w:hAnsi="Times New Roman" w:eastAsia="方正仿宋_GBK" w:cs="Times New Roman"/>
          <w:sz w:val="32"/>
          <w:szCs w:val="32"/>
        </w:rPr>
        <w:t>占政府采购支出总额的0.00%。主要用于采购医疗专用设备。</w:t>
      </w:r>
    </w:p>
    <w:p w14:paraId="5A9E776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五、预算绩效管理情况说明</w:t>
      </w:r>
    </w:p>
    <w:p w14:paraId="050F5F2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（一）单位自评情况</w:t>
      </w:r>
    </w:p>
    <w:p w14:paraId="4FA3469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根据预算绩效管理要求，我单位对11个项目开展了绩效自</w:t>
      </w:r>
      <w:r>
        <w:rPr>
          <w:rFonts w:hint="default" w:ascii="Times New Roman" w:hAnsi="Times New Roman" w:eastAsia="方正仿宋_GBK" w:cs="Times New Roman"/>
          <w:sz w:val="32"/>
          <w:szCs w:val="32"/>
        </w:rPr>
        <w:t>评，涉及财政拨款项目支出资金1515.23万元。</w:t>
      </w:r>
    </w:p>
    <w:p w14:paraId="7EC6D1D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（二）单位绩效评价情况</w:t>
      </w:r>
    </w:p>
    <w:p w14:paraId="1178817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14:paraId="193D112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六、专业名词解释</w:t>
      </w:r>
    </w:p>
    <w:p w14:paraId="1C71DAC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以下为常见专业名词解释目录，仅供参考，</w:t>
      </w:r>
    </w:p>
    <w:p w14:paraId="1D5AE45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w:t>
      </w:r>
      <w:r>
        <w:rPr>
          <w:rFonts w:hint="default" w:ascii="Times New Roman" w:hAnsi="Times New Roman" w:eastAsia="方正仿宋_GBK" w:cs="Times New Roman"/>
          <w:sz w:val="32"/>
          <w:szCs w:val="32"/>
        </w:rPr>
        <w:t>指本年度从本级财政部门取得</w:t>
      </w:r>
      <w:r>
        <w:rPr>
          <w:rFonts w:hint="default" w:ascii="Times New Roman" w:hAnsi="Times New Roman" w:eastAsia="方正仿宋_GBK" w:cs="Times New Roman"/>
          <w:sz w:val="32"/>
          <w:szCs w:val="32"/>
        </w:rPr>
        <w:t>的财政拨款，包括一般公共预算财政拨款和政府性基金预算财政拨款。</w:t>
      </w:r>
    </w:p>
    <w:p w14:paraId="6D77FDB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w:t>
      </w:r>
      <w:r>
        <w:rPr>
          <w:rFonts w:hint="default" w:ascii="Times New Roman" w:hAnsi="Times New Roman" w:eastAsia="方正仿宋_GBK" w:cs="Times New Roman"/>
          <w:sz w:val="32"/>
          <w:szCs w:val="32"/>
        </w:rPr>
        <w:t>指事业单位开展专业业务活动及其辅</w:t>
      </w:r>
      <w:r>
        <w:rPr>
          <w:rFonts w:hint="default" w:ascii="Times New Roman" w:hAnsi="Times New Roman" w:eastAsia="方正仿宋_GBK" w:cs="Times New Roman"/>
          <w:sz w:val="32"/>
          <w:szCs w:val="32"/>
        </w:rPr>
        <w:t>助活</w:t>
      </w:r>
      <w:r>
        <w:rPr>
          <w:rFonts w:hint="default" w:ascii="Times New Roman" w:hAnsi="Times New Roman" w:eastAsia="方正仿宋_GBK" w:cs="Times New Roman"/>
          <w:sz w:val="32"/>
          <w:szCs w:val="32"/>
        </w:rPr>
        <w:t>动取得的现金流入；事业单位收到的财政专户实际核拨的教育收</w:t>
      </w:r>
      <w:r>
        <w:rPr>
          <w:rFonts w:hint="default" w:ascii="Times New Roman" w:hAnsi="Times New Roman" w:eastAsia="方正仿宋_GBK" w:cs="Times New Roman"/>
          <w:sz w:val="32"/>
          <w:szCs w:val="32"/>
        </w:rPr>
        <w:t>费等资金在此反映。</w:t>
      </w:r>
    </w:p>
    <w:p w14:paraId="3576697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14:paraId="0714F70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w:t>
      </w:r>
      <w:r>
        <w:rPr>
          <w:rFonts w:hint="default" w:ascii="Times New Roman" w:hAnsi="Times New Roman" w:eastAsia="方正仿宋_GBK" w:cs="Times New Roman"/>
          <w:sz w:val="32"/>
          <w:szCs w:val="32"/>
        </w:rPr>
        <w:t>指单位取得的除“财政拨款收入”、“事</w:t>
      </w:r>
      <w:r>
        <w:rPr>
          <w:rFonts w:hint="default" w:ascii="Times New Roman" w:hAnsi="Times New Roman" w:eastAsia="方正仿宋_GBK" w:cs="Times New Roman"/>
          <w:sz w:val="32"/>
          <w:szCs w:val="32"/>
        </w:rPr>
        <w:t>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w:t>
      </w:r>
      <w:r>
        <w:rPr>
          <w:rFonts w:hint="default" w:ascii="Times New Roman" w:hAnsi="Times New Roman" w:eastAsia="方正仿宋_GBK" w:cs="Times New Roman"/>
          <w:sz w:val="32"/>
          <w:szCs w:val="32"/>
        </w:rPr>
        <w:t>外的同级单位取得的经费、从非本级财政部门取得的经费，以及</w:t>
      </w:r>
      <w:r>
        <w:rPr>
          <w:rFonts w:hint="default" w:ascii="Times New Roman" w:hAnsi="Times New Roman" w:eastAsia="方正仿宋_GBK" w:cs="Times New Roman"/>
          <w:sz w:val="32"/>
          <w:szCs w:val="32"/>
        </w:rPr>
        <w:t>行政单位收到的财政专户管理资金反映在本项内。</w:t>
      </w:r>
    </w:p>
    <w:p w14:paraId="1EE06E5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w:t>
      </w:r>
      <w:r>
        <w:rPr>
          <w:rFonts w:hint="default" w:ascii="Times New Roman" w:hAnsi="Times New Roman" w:eastAsia="方正仿宋_GBK" w:cs="Times New Roman"/>
          <w:sz w:val="32"/>
          <w:szCs w:val="32"/>
        </w:rPr>
        <w:t>指单位在当年的“财</w:t>
      </w:r>
      <w:r>
        <w:rPr>
          <w:rFonts w:hint="default" w:ascii="Times New Roman" w:hAnsi="Times New Roman" w:eastAsia="方正仿宋_GBK" w:cs="Times New Roman"/>
          <w:sz w:val="32"/>
          <w:szCs w:val="32"/>
        </w:rPr>
        <w:t>政拨款收</w:t>
      </w:r>
      <w:r>
        <w:rPr>
          <w:rFonts w:hint="default" w:ascii="Times New Roman" w:hAnsi="Times New Roman" w:eastAsia="方正仿宋_GBK" w:cs="Times New Roman"/>
          <w:sz w:val="32"/>
          <w:szCs w:val="32"/>
        </w:rPr>
        <w:t>入”、“事业收入”、“经营收入”、“其他收入”等不足以安</w:t>
      </w:r>
      <w:r>
        <w:rPr>
          <w:rFonts w:hint="default" w:ascii="Times New Roman" w:hAnsi="Times New Roman" w:eastAsia="方正仿宋_GBK" w:cs="Times New Roman"/>
          <w:sz w:val="32"/>
          <w:szCs w:val="32"/>
        </w:rPr>
        <w:t>排当年支出的情况下，使用以前年度积累的非财政拨款结余弥补</w:t>
      </w:r>
      <w:r>
        <w:rPr>
          <w:rFonts w:hint="default" w:ascii="Times New Roman" w:hAnsi="Times New Roman" w:eastAsia="方正仿宋_GBK" w:cs="Times New Roman"/>
          <w:sz w:val="32"/>
          <w:szCs w:val="32"/>
        </w:rPr>
        <w:t>本年度收支缺口的资金。</w:t>
      </w:r>
    </w:p>
    <w:p w14:paraId="11DA87D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w:t>
      </w:r>
      <w:r>
        <w:rPr>
          <w:rFonts w:hint="default" w:ascii="Times New Roman" w:hAnsi="Times New Roman" w:eastAsia="方正仿宋_GBK" w:cs="Times New Roman"/>
          <w:sz w:val="32"/>
          <w:szCs w:val="32"/>
        </w:rPr>
        <w:t>指单位上年结转本年使用的基本支</w:t>
      </w:r>
      <w:r>
        <w:rPr>
          <w:rFonts w:hint="default" w:ascii="Times New Roman" w:hAnsi="Times New Roman" w:eastAsia="方正仿宋_GBK" w:cs="Times New Roman"/>
          <w:sz w:val="32"/>
          <w:szCs w:val="32"/>
        </w:rPr>
        <w:t>出结转、项目支出结转和结余、经营结余。</w:t>
      </w:r>
    </w:p>
    <w:p w14:paraId="314CD53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w:t>
      </w:r>
      <w:r>
        <w:rPr>
          <w:rFonts w:hint="default" w:ascii="Times New Roman" w:hAnsi="Times New Roman" w:eastAsia="方正仿宋_GBK" w:cs="Times New Roman"/>
          <w:sz w:val="32"/>
          <w:szCs w:val="32"/>
        </w:rPr>
        <w:t>指单位按照国家有关规定，缴纳所得</w:t>
      </w:r>
      <w:r>
        <w:rPr>
          <w:rFonts w:hint="default" w:ascii="Times New Roman" w:hAnsi="Times New Roman" w:eastAsia="方正仿宋_GBK" w:cs="Times New Roman"/>
          <w:sz w:val="32"/>
          <w:szCs w:val="32"/>
        </w:rPr>
        <w:t>税、提取专用基金、转入非财政拨款结余等当年结余的分配</w:t>
      </w:r>
      <w:r>
        <w:rPr>
          <w:rFonts w:hint="default" w:ascii="Times New Roman" w:hAnsi="Times New Roman" w:eastAsia="方正仿宋_GBK" w:cs="Times New Roman"/>
          <w:sz w:val="32"/>
          <w:szCs w:val="32"/>
        </w:rPr>
        <w:t>情况。</w:t>
      </w:r>
    </w:p>
    <w:p w14:paraId="52D06AA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w:t>
      </w:r>
      <w:r>
        <w:rPr>
          <w:rFonts w:hint="default" w:ascii="Times New Roman" w:hAnsi="Times New Roman" w:eastAsia="方正仿宋_GBK" w:cs="Times New Roman"/>
          <w:sz w:val="32"/>
          <w:szCs w:val="32"/>
        </w:rPr>
        <w:t>指单位结转下年的基本支</w:t>
      </w:r>
      <w:r>
        <w:rPr>
          <w:rFonts w:hint="default" w:ascii="Times New Roman" w:hAnsi="Times New Roman" w:eastAsia="方正仿宋_GBK" w:cs="Times New Roman"/>
          <w:sz w:val="32"/>
          <w:szCs w:val="32"/>
        </w:rPr>
        <w:t>出结转、</w:t>
      </w:r>
      <w:r>
        <w:rPr>
          <w:rFonts w:hint="default" w:ascii="Times New Roman" w:hAnsi="Times New Roman" w:eastAsia="方正仿宋_GBK" w:cs="Times New Roman"/>
          <w:sz w:val="32"/>
          <w:szCs w:val="32"/>
        </w:rPr>
        <w:t>项目支出结转和结余、经营结余。</w:t>
      </w:r>
    </w:p>
    <w:p w14:paraId="7F9D1FE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w:t>
      </w:r>
      <w:r>
        <w:rPr>
          <w:rFonts w:hint="default" w:ascii="Times New Roman" w:hAnsi="Times New Roman" w:eastAsia="方正仿宋_GBK" w:cs="Times New Roman"/>
          <w:sz w:val="32"/>
          <w:szCs w:val="32"/>
        </w:rPr>
        <w:t>指为保障机构正常运转、完成日常工作任</w:t>
      </w:r>
      <w:r>
        <w:rPr>
          <w:rFonts w:hint="default" w:ascii="Times New Roman" w:hAnsi="Times New Roman" w:eastAsia="方正仿宋_GBK" w:cs="Times New Roman"/>
          <w:sz w:val="32"/>
          <w:szCs w:val="32"/>
        </w:rPr>
        <w:t>务而发生的人员经费和公用经费。其中：人员经费指政府收支分</w:t>
      </w:r>
      <w:r>
        <w:rPr>
          <w:rFonts w:hint="default" w:ascii="Times New Roman" w:hAnsi="Times New Roman" w:eastAsia="方正仿宋_GBK" w:cs="Times New Roman"/>
          <w:sz w:val="32"/>
          <w:szCs w:val="32"/>
        </w:rPr>
        <w:t>类经济科目中的“工资福利支出”和“对个人</w:t>
      </w:r>
      <w:r>
        <w:rPr>
          <w:rFonts w:hint="default" w:ascii="Times New Roman" w:hAnsi="Times New Roman" w:eastAsia="方正仿宋_GBK" w:cs="Times New Roman"/>
          <w:sz w:val="32"/>
          <w:szCs w:val="32"/>
        </w:rPr>
        <w:t>和家庭的补助”；</w:t>
      </w:r>
      <w:r>
        <w:rPr>
          <w:rFonts w:hint="default" w:ascii="Times New Roman" w:hAnsi="Times New Roman" w:eastAsia="方正仿宋_GBK" w:cs="Times New Roman"/>
          <w:sz w:val="32"/>
          <w:szCs w:val="32"/>
        </w:rPr>
        <w:t>公用经费指政府收支分类经济科目中除“工资福利支出”和“对</w:t>
      </w:r>
      <w:r>
        <w:rPr>
          <w:rFonts w:hint="default" w:ascii="Times New Roman" w:hAnsi="Times New Roman" w:eastAsia="方正仿宋_GBK" w:cs="Times New Roman"/>
          <w:sz w:val="32"/>
          <w:szCs w:val="32"/>
        </w:rPr>
        <w:t>个人和家庭的补助”外的其他支出。</w:t>
      </w:r>
    </w:p>
    <w:p w14:paraId="01C17B8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w:t>
      </w:r>
      <w:r>
        <w:rPr>
          <w:rFonts w:hint="default" w:ascii="Times New Roman" w:hAnsi="Times New Roman" w:eastAsia="方正仿宋_GBK" w:cs="Times New Roman"/>
          <w:sz w:val="32"/>
          <w:szCs w:val="32"/>
        </w:rPr>
        <w:t>指在基本支出之外为完</w:t>
      </w:r>
      <w:r>
        <w:rPr>
          <w:rFonts w:hint="default" w:ascii="Times New Roman" w:hAnsi="Times New Roman" w:eastAsia="方正仿宋_GBK" w:cs="Times New Roman"/>
          <w:sz w:val="32"/>
          <w:szCs w:val="32"/>
        </w:rPr>
        <w:t>成特定行政任务和</w:t>
      </w:r>
      <w:r>
        <w:rPr>
          <w:rFonts w:hint="default" w:ascii="Times New Roman" w:hAnsi="Times New Roman" w:eastAsia="方正仿宋_GBK" w:cs="Times New Roman"/>
          <w:sz w:val="32"/>
          <w:szCs w:val="32"/>
        </w:rPr>
        <w:t>事业发展目标所发生的支出。</w:t>
      </w:r>
    </w:p>
    <w:p w14:paraId="11FC57B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w:t>
      </w:r>
      <w:r>
        <w:rPr>
          <w:rFonts w:hint="default" w:ascii="Times New Roman" w:hAnsi="Times New Roman" w:eastAsia="方正仿宋_GBK" w:cs="Times New Roman"/>
          <w:sz w:val="32"/>
          <w:szCs w:val="32"/>
        </w:rPr>
        <w:t>指事业单位在专业业务活动及其辅助活</w:t>
      </w:r>
      <w:r>
        <w:rPr>
          <w:rFonts w:hint="default" w:ascii="Times New Roman" w:hAnsi="Times New Roman" w:eastAsia="方正仿宋_GBK" w:cs="Times New Roman"/>
          <w:sz w:val="32"/>
          <w:szCs w:val="32"/>
        </w:rPr>
        <w:t>动之外开展非独立核算经营活动发生的支出。</w:t>
      </w:r>
    </w:p>
    <w:p w14:paraId="1003323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（十二）“三公”经费：</w:t>
      </w:r>
      <w:r>
        <w:rPr>
          <w:rFonts w:hint="default" w:ascii="Times New Roman" w:hAnsi="Times New Roman" w:eastAsia="方正仿宋_GBK" w:cs="Times New Roman"/>
          <w:sz w:val="32"/>
          <w:szCs w:val="32"/>
        </w:rPr>
        <w:t>指用一般公共预算财政拨款安排的</w:t>
      </w:r>
      <w:r>
        <w:rPr>
          <w:rFonts w:hint="default" w:ascii="Times New Roman" w:hAnsi="Times New Roman" w:eastAsia="方正仿宋_GBK" w:cs="Times New Roman"/>
          <w:sz w:val="32"/>
          <w:szCs w:val="32"/>
        </w:rPr>
        <w:t>因公出国（境）费、公务用车购置及运行维护费、公务接待费。</w:t>
      </w:r>
      <w:r>
        <w:rPr>
          <w:rFonts w:hint="default" w:ascii="Times New Roman" w:hAnsi="Times New Roman" w:eastAsia="方正仿宋_GBK" w:cs="Times New Roman"/>
          <w:sz w:val="32"/>
          <w:szCs w:val="32"/>
        </w:rPr>
        <w:t>其中，因公出国（境）费反映单位公务出国（境）的国际旅</w:t>
      </w:r>
      <w:r>
        <w:rPr>
          <w:rFonts w:hint="default" w:ascii="Times New Roman" w:hAnsi="Times New Roman" w:eastAsia="方正仿宋_GBK" w:cs="Times New Roman"/>
          <w:sz w:val="32"/>
          <w:szCs w:val="32"/>
        </w:rPr>
        <w:t>费、</w:t>
      </w:r>
      <w:r>
        <w:rPr>
          <w:rFonts w:hint="default" w:ascii="Times New Roman" w:hAnsi="Times New Roman" w:eastAsia="方正仿宋_GBK" w:cs="Times New Roman"/>
          <w:sz w:val="32"/>
          <w:szCs w:val="32"/>
        </w:rPr>
        <w:t>国外城市间交通费、住宿费、伙食费、培训费、公杂费等支出；</w:t>
      </w:r>
      <w:r>
        <w:rPr>
          <w:rFonts w:hint="default" w:ascii="Times New Roman" w:hAnsi="Times New Roman" w:eastAsia="方正仿宋_GBK" w:cs="Times New Roman"/>
          <w:sz w:val="32"/>
          <w:szCs w:val="32"/>
        </w:rPr>
        <w:t>公务用车购置费反映单位公务用车购置支出（含车辆购置税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公务用车运行维护费反映单位按规定保留的公务用车燃料费、维修费、过路过桥费、保险费、安全奖励费用等支出；公务接待费</w:t>
      </w:r>
      <w:r>
        <w:rPr>
          <w:rFonts w:hint="default" w:ascii="Times New Roman" w:hAnsi="Times New Roman" w:eastAsia="方正仿宋_GBK" w:cs="Times New Roman"/>
          <w:sz w:val="32"/>
          <w:szCs w:val="32"/>
        </w:rPr>
        <w:t>反映单位按规定开支的各类公务接待（含外宾接待）支</w:t>
      </w:r>
      <w:r>
        <w:rPr>
          <w:rFonts w:hint="default" w:ascii="Times New Roman" w:hAnsi="Times New Roman" w:eastAsia="方正仿宋_GBK" w:cs="Times New Roman"/>
          <w:sz w:val="32"/>
          <w:szCs w:val="32"/>
        </w:rPr>
        <w:t>出。</w:t>
      </w:r>
    </w:p>
    <w:p w14:paraId="51C9D34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w:t>
      </w:r>
      <w:r>
        <w:rPr>
          <w:rFonts w:hint="default" w:ascii="Times New Roman" w:hAnsi="Times New Roman" w:eastAsia="方正仿宋_GBK" w:cs="Times New Roman"/>
          <w:sz w:val="32"/>
          <w:szCs w:val="32"/>
        </w:rPr>
        <w:t>为保障行政单位（含参照公</w:t>
      </w:r>
      <w:r>
        <w:rPr>
          <w:rFonts w:hint="default" w:ascii="Times New Roman" w:hAnsi="Times New Roman" w:eastAsia="方正仿宋_GBK" w:cs="Times New Roman"/>
          <w:sz w:val="32"/>
          <w:szCs w:val="32"/>
        </w:rPr>
        <w:t>务员法</w:t>
      </w:r>
      <w:r>
        <w:rPr>
          <w:rFonts w:hint="default" w:ascii="Times New Roman" w:hAnsi="Times New Roman" w:eastAsia="方正仿宋_GBK" w:cs="Times New Roman"/>
          <w:sz w:val="32"/>
          <w:szCs w:val="32"/>
        </w:rPr>
        <w:t>管理的事业单位）运行用于购买货物和服务等的各项公用经费，</w:t>
      </w:r>
      <w:r>
        <w:rPr>
          <w:rFonts w:hint="default" w:ascii="Times New Roman" w:hAnsi="Times New Roman" w:eastAsia="方正仿宋_GBK" w:cs="Times New Roman"/>
          <w:sz w:val="32"/>
          <w:szCs w:val="32"/>
        </w:rPr>
        <w:t>包括办公及印刷费、邮电费、差旅费、会议费、福利费、日常维</w:t>
      </w:r>
      <w:r>
        <w:rPr>
          <w:rFonts w:hint="default" w:ascii="Times New Roman" w:hAnsi="Times New Roman" w:eastAsia="方正仿宋_GBK" w:cs="Times New Roman"/>
          <w:sz w:val="32"/>
          <w:szCs w:val="32"/>
        </w:rPr>
        <w:t>护费、专用材料及一般设备购置费、办公用房水电费、办公用房取暖费、办公用房物业管理费、公务用车运行维护费以及其他费</w:t>
      </w:r>
      <w:r>
        <w:rPr>
          <w:rFonts w:hint="default" w:ascii="Times New Roman" w:hAnsi="Times New Roman" w:eastAsia="方正仿宋_GBK" w:cs="Times New Roman"/>
          <w:sz w:val="32"/>
          <w:szCs w:val="32"/>
        </w:rPr>
        <w:t>用。</w:t>
      </w:r>
    </w:p>
    <w:p w14:paraId="7028799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反映单</w:t>
      </w:r>
      <w:r>
        <w:rPr>
          <w:rFonts w:hint="default" w:ascii="Times New Roman" w:hAnsi="Times New Roman" w:eastAsia="方正仿宋_GBK" w:cs="Times New Roman"/>
          <w:sz w:val="32"/>
          <w:szCs w:val="32"/>
        </w:rPr>
        <w:t>位开支的在职职工和编制外长期聘用人员的各类劳动报酬，以及</w:t>
      </w:r>
      <w:r>
        <w:rPr>
          <w:rFonts w:hint="default" w:ascii="Times New Roman" w:hAnsi="Times New Roman" w:eastAsia="方正仿宋_GBK" w:cs="Times New Roman"/>
          <w:sz w:val="32"/>
          <w:szCs w:val="32"/>
        </w:rPr>
        <w:t>为上述人员缴纳的各项社会保险费等。</w:t>
      </w:r>
    </w:p>
    <w:p w14:paraId="54E5936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w:t>
      </w:r>
      <w:r>
        <w:rPr>
          <w:rFonts w:hint="default" w:ascii="Times New Roman" w:hAnsi="Times New Roman" w:eastAsia="方正仿宋_GBK" w:cs="Times New Roman"/>
          <w:sz w:val="32"/>
          <w:szCs w:val="32"/>
        </w:rPr>
        <w:t>单位购买商品和服务的支出（不包括用于购置固定资产的支出、</w:t>
      </w:r>
      <w:r>
        <w:rPr>
          <w:rFonts w:hint="default" w:ascii="Times New Roman" w:hAnsi="Times New Roman" w:eastAsia="方正仿宋_GBK" w:cs="Times New Roman"/>
          <w:sz w:val="32"/>
          <w:szCs w:val="32"/>
        </w:rPr>
        <w:t>战略性和应急储备支出）。</w:t>
      </w:r>
    </w:p>
    <w:p w14:paraId="4E0FBCF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反映用于对个人和家庭的补助支出。</w:t>
      </w:r>
    </w:p>
    <w:p w14:paraId="585F4D0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w:t>
      </w:r>
      <w:r>
        <w:rPr>
          <w:rFonts w:hint="default" w:ascii="Times New Roman" w:hAnsi="Times New Roman" w:eastAsia="方正仿宋_GBK" w:cs="Times New Roman"/>
          <w:sz w:val="32"/>
          <w:szCs w:val="32"/>
        </w:rPr>
        <w:t>非各级发展与改革部门集中安排的用于购置固定资产、战略性和</w:t>
      </w:r>
      <w:r>
        <w:rPr>
          <w:rFonts w:hint="default" w:ascii="Times New Roman" w:hAnsi="Times New Roman" w:eastAsia="方正仿宋_GBK" w:cs="Times New Roman"/>
          <w:sz w:val="32"/>
          <w:szCs w:val="32"/>
        </w:rPr>
        <w:t>应急性储备、土地和无形资产，以及构建基础设施、大型修缮和</w:t>
      </w:r>
      <w:r>
        <w:rPr>
          <w:rFonts w:hint="default" w:ascii="Times New Roman" w:hAnsi="Times New Roman" w:eastAsia="方正仿宋_GBK" w:cs="Times New Roman"/>
          <w:sz w:val="32"/>
          <w:szCs w:val="32"/>
        </w:rPr>
        <w:t>财政支持企业更新改造所发生的支出。</w:t>
      </w:r>
    </w:p>
    <w:p w14:paraId="1C16A27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七、决算公开联系方式及信息反馈渠道</w:t>
      </w:r>
    </w:p>
    <w:p w14:paraId="37E96A4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rPr>
        <w:t>yzqdpzyy</w:t>
      </w:r>
      <w:r>
        <w:rPr>
          <w:rFonts w:hint="default" w:ascii="Times New Roman" w:hAnsi="Times New Roman" w:eastAsia="方正仿宋_GBK" w:cs="Times New Roman"/>
          <w:sz w:val="32"/>
          <w:szCs w:val="32"/>
        </w:rPr>
        <w:t>@163.</w:t>
      </w:r>
      <w:r>
        <w:rPr>
          <w:rFonts w:hint="default" w:ascii="Times New Roman" w:hAnsi="Times New Roman" w:eastAsia="方正仿宋_GBK" w:cs="Times New Roman"/>
          <w:sz w:val="32"/>
          <w:szCs w:val="32"/>
        </w:rPr>
        <w:t>com</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63323367</w:t>
      </w:r>
      <w:r>
        <w:rPr>
          <w:rFonts w:hint="default" w:ascii="Times New Roman" w:hAnsi="Times New Roman" w:eastAsia="方正仿宋_GBK" w:cs="Times New Roman"/>
          <w:sz w:val="32"/>
          <w:szCs w:val="32"/>
        </w:rPr>
        <w:t>。</w:t>
      </w:r>
    </w:p>
    <w:sectPr>
      <w:footerReference r:id="rId5" w:type="default"/>
      <w:pgSz w:w="11906" w:h="16839"/>
      <w:pgMar w:top="1984" w:right="1446" w:bottom="1644" w:left="1446" w:header="0" w:footer="2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4688">
    <w:pPr>
      <w:spacing w:line="172" w:lineRule="auto"/>
      <w:ind w:left="10959"/>
      <w:rPr>
        <w:rFonts w:ascii="宋体" w:hAnsi="宋体" w:eastAsia="宋体" w:cs="宋体"/>
        <w:sz w:val="18"/>
        <w:szCs w:val="18"/>
      </w:rPr>
    </w:pPr>
    <w:r>
      <w:rPr>
        <w:rFonts w:ascii="宋体" w:hAnsi="宋体" w:eastAsia="宋体" w:cs="宋体"/>
        <w:spacing w:val="-4"/>
        <w:sz w:val="18"/>
        <w:szCs w:val="18"/>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UzOWE4MWNiMTQ5NGY3ZDA4OWU3MDE3NTUzMzU2ZDkifQ=="/>
  </w:docVars>
  <w:rsids>
    <w:rsidRoot w:val="00000000"/>
    <w:rsid w:val="66671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8558</Words>
  <Characters>10875</Characters>
  <TotalTime>3</TotalTime>
  <ScaleCrop>false</ScaleCrop>
  <LinksUpToDate>false</LinksUpToDate>
  <CharactersWithSpaces>11694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2024-09-05T09:48:00Z</dcterms:created>
  <dc:creator>Administrator</dc:creator>
  <cp:lastModifiedBy>卢洋</cp:lastModifiedBy>
  <dcterms:modified xsi:type="dcterms:W3CDTF">2024-10-25T03:23:15Z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2024-10-25T11:19:41Z</vt:filetime>
  </property>
  <property fmtid="{D5CDD505-2E9C-101B-9397-08002B2CF9AE}" pid="4" name="KSOProductBuildVer">
    <vt:lpwstr>2052-12.1.0.18276</vt:lpwstr>
  </property>
  <property fmtid="{D5CDD505-2E9C-101B-9397-08002B2CF9AE}" pid="5" name="ICV">
    <vt:lpwstr>32A1C2E2FAFB41E796653D44ADEA7FE7_12</vt:lpwstr>
  </property>
</Properties>
</file>